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body>
    <w:p w:rsidR="003425F9" w:rsidP="00195E83" w:rsidRDefault="0035520D" w14:paraId="038D3D77" w14:textId="43EA732F" w14:noSpellErr="1">
      <w:pPr>
        <w:ind w:left="360" w:hanging="360"/>
        <w:rPr>
          <w:b w:val="1"/>
          <w:bCs w:val="1"/>
          <w:sz w:val="24"/>
          <w:szCs w:val="24"/>
          <w:u w:val="single"/>
        </w:rPr>
      </w:pPr>
      <w:r w:rsidRPr="434A86B8" w:rsidR="0035520D">
        <w:rPr>
          <w:b w:val="1"/>
          <w:bCs w:val="1"/>
          <w:sz w:val="24"/>
          <w:szCs w:val="24"/>
        </w:rPr>
        <w:t>S</w:t>
      </w:r>
      <w:r w:rsidRPr="434A86B8" w:rsidR="00281D84">
        <w:rPr>
          <w:b w:val="1"/>
          <w:bCs w:val="1"/>
          <w:sz w:val="24"/>
          <w:szCs w:val="24"/>
        </w:rPr>
        <w:t xml:space="preserve">poor 1 </w:t>
      </w:r>
      <w:r w:rsidRPr="434A86B8" w:rsidR="0035520D">
        <w:rPr>
          <w:b w:val="1"/>
          <w:bCs w:val="1"/>
          <w:sz w:val="24"/>
          <w:szCs w:val="24"/>
        </w:rPr>
        <w:t>MCE&amp;N</w:t>
      </w:r>
      <w:r w:rsidRPr="434A86B8" w:rsidR="00404CE5">
        <w:rPr>
          <w:b w:val="1"/>
          <w:bCs w:val="1"/>
          <w:sz w:val="24"/>
          <w:szCs w:val="24"/>
        </w:rPr>
        <w:t xml:space="preserve">: </w:t>
      </w:r>
      <w:r w:rsidRPr="434A86B8" w:rsidR="003425F9">
        <w:rPr>
          <w:b w:val="1"/>
          <w:bCs w:val="1"/>
          <w:sz w:val="24"/>
          <w:szCs w:val="24"/>
          <w:u w:val="single"/>
        </w:rPr>
        <w:t>Wat is er mogelijk (te maken) binnen vergunningverlening?</w:t>
      </w:r>
    </w:p>
    <w:p w:rsidRPr="003A3EF2" w:rsidR="00963858" w:rsidP="434A86B8" w:rsidRDefault="00963858" w14:paraId="3257B7F7" w14:textId="617EC9F7" w14:noSpellErr="1">
      <w:pPr>
        <w:ind w:left="360" w:hanging="360"/>
        <w:rPr>
          <w:b w:val="1"/>
          <w:bCs w:val="1"/>
          <w:i w:val="1"/>
          <w:iCs w:val="1"/>
          <w:sz w:val="32"/>
          <w:szCs w:val="32"/>
        </w:rPr>
      </w:pPr>
      <w:r w:rsidRPr="434A86B8" w:rsidR="00963858">
        <w:rPr>
          <w:b w:val="1"/>
          <w:bCs w:val="1"/>
          <w:i w:val="1"/>
          <w:iCs w:val="1"/>
          <w:sz w:val="32"/>
          <w:szCs w:val="32"/>
        </w:rPr>
        <w:t xml:space="preserve">Hoofdboodschap </w:t>
      </w:r>
      <w:r w:rsidRPr="434A86B8" w:rsidR="003A3EF2">
        <w:rPr>
          <w:b w:val="1"/>
          <w:bCs w:val="1"/>
          <w:i w:val="1"/>
          <w:iCs w:val="1"/>
          <w:sz w:val="32"/>
          <w:szCs w:val="32"/>
        </w:rPr>
        <w:t xml:space="preserve">inzet </w:t>
      </w:r>
      <w:r w:rsidRPr="434A86B8" w:rsidR="00963858">
        <w:rPr>
          <w:b w:val="1"/>
          <w:bCs w:val="1"/>
          <w:i w:val="1"/>
          <w:iCs w:val="1"/>
          <w:sz w:val="32"/>
          <w:szCs w:val="32"/>
        </w:rPr>
        <w:t>provincies</w:t>
      </w:r>
      <w:r w:rsidRPr="434A86B8" w:rsidR="003A3EF2">
        <w:rPr>
          <w:b w:val="1"/>
          <w:bCs w:val="1"/>
          <w:i w:val="1"/>
          <w:iCs w:val="1"/>
          <w:sz w:val="32"/>
          <w:szCs w:val="32"/>
        </w:rPr>
        <w:t xml:space="preserve"> spoor 1</w:t>
      </w:r>
    </w:p>
    <w:p w:rsidR="00715E5B" w:rsidP="00C35BEA" w:rsidRDefault="00963858" w14:paraId="46685CEF" w14:textId="283F0475" w14:noSpellErr="1">
      <w:pPr>
        <w:pStyle w:val="Lijstalinea"/>
        <w:numPr>
          <w:ilvl w:val="0"/>
          <w:numId w:val="4"/>
        </w:numPr>
        <w:rPr/>
      </w:pPr>
      <w:r w:rsidRPr="434A86B8" w:rsidR="00963858">
        <w:rPr>
          <w:b w:val="1"/>
          <w:bCs w:val="1"/>
        </w:rPr>
        <w:t xml:space="preserve">De provincies willen de </w:t>
      </w:r>
      <w:r w:rsidRPr="434A86B8" w:rsidR="00715E5B">
        <w:rPr>
          <w:b w:val="1"/>
          <w:bCs w:val="1"/>
        </w:rPr>
        <w:t>natuur</w:t>
      </w:r>
      <w:r w:rsidRPr="434A86B8" w:rsidR="00963858">
        <w:rPr>
          <w:b w:val="1"/>
          <w:bCs w:val="1"/>
        </w:rPr>
        <w:t xml:space="preserve">vergunningverlening voor de zomer </w:t>
      </w:r>
      <w:r w:rsidRPr="434A86B8" w:rsidR="00D55356">
        <w:rPr>
          <w:b w:val="1"/>
          <w:bCs w:val="1"/>
        </w:rPr>
        <w:t xml:space="preserve">breed en structureel </w:t>
      </w:r>
      <w:r w:rsidRPr="434A86B8" w:rsidR="00963858">
        <w:rPr>
          <w:b w:val="1"/>
          <w:bCs w:val="1"/>
        </w:rPr>
        <w:t>van het slot</w:t>
      </w:r>
      <w:r w:rsidRPr="434A86B8" w:rsidR="007F78BB">
        <w:rPr>
          <w:b w:val="1"/>
          <w:bCs w:val="1"/>
        </w:rPr>
        <w:t xml:space="preserve">, </w:t>
      </w:r>
      <w:r w:rsidR="007F78BB">
        <w:rPr/>
        <w:t xml:space="preserve">met </w:t>
      </w:r>
      <w:r w:rsidR="00715E5B">
        <w:rPr/>
        <w:t xml:space="preserve">een combinatie van de sporen 1 </w:t>
      </w:r>
      <w:r w:rsidR="00D55356">
        <w:rPr/>
        <w:t xml:space="preserve">en 2 </w:t>
      </w:r>
      <w:r w:rsidR="00715E5B">
        <w:rPr/>
        <w:t>van de MCE&amp;N:</w:t>
      </w:r>
    </w:p>
    <w:p w:rsidR="00715E5B" w:rsidP="00C35BEA" w:rsidRDefault="00D55356" w14:paraId="650806FF" w14:textId="7BCF55A1">
      <w:pPr>
        <w:pStyle w:val="Lijstalinea"/>
        <w:numPr>
          <w:ilvl w:val="0"/>
          <w:numId w:val="5"/>
        </w:numPr>
        <w:rPr/>
      </w:pPr>
      <w:r w:rsidR="00D55356">
        <w:rPr/>
        <w:t>De provincies willen</w:t>
      </w:r>
      <w:r w:rsidR="00824E49">
        <w:rPr/>
        <w:t xml:space="preserve"> voor de zomer</w:t>
      </w:r>
      <w:r w:rsidR="00D55356">
        <w:rPr/>
        <w:t xml:space="preserve"> </w:t>
      </w:r>
      <w:r w:rsidRPr="434A86B8" w:rsidR="00D55356">
        <w:rPr>
          <w:u w:val="single"/>
        </w:rPr>
        <w:t xml:space="preserve">een </w:t>
      </w:r>
      <w:r w:rsidRPr="434A86B8" w:rsidR="00032473">
        <w:rPr>
          <w:u w:val="single"/>
        </w:rPr>
        <w:t>geborgd</w:t>
      </w:r>
      <w:r w:rsidRPr="434A86B8" w:rsidR="00715E5B">
        <w:rPr>
          <w:u w:val="single"/>
        </w:rPr>
        <w:t xml:space="preserve"> </w:t>
      </w:r>
      <w:r w:rsidRPr="434A86B8" w:rsidR="00032473">
        <w:rPr>
          <w:u w:val="single"/>
        </w:rPr>
        <w:t xml:space="preserve">en toereikend </w:t>
      </w:r>
      <w:r w:rsidRPr="434A86B8" w:rsidR="00715E5B">
        <w:rPr>
          <w:u w:val="single"/>
        </w:rPr>
        <w:t xml:space="preserve">maatregelpakket voor stikstofdaling en natuurherstel </w:t>
      </w:r>
      <w:r w:rsidRPr="434A86B8" w:rsidR="00032473">
        <w:rPr>
          <w:u w:val="single"/>
        </w:rPr>
        <w:t>in</w:t>
      </w:r>
      <w:r w:rsidRPr="434A86B8" w:rsidR="00D55356">
        <w:rPr>
          <w:u w:val="single"/>
        </w:rPr>
        <w:t xml:space="preserve"> spoor 2</w:t>
      </w:r>
      <w:r w:rsidR="00D55356">
        <w:rPr/>
        <w:t xml:space="preserve"> </w:t>
      </w:r>
      <w:r w:rsidR="0063518D">
        <w:rPr/>
        <w:t>waarmee</w:t>
      </w:r>
      <w:r w:rsidR="00715E5B">
        <w:rPr/>
        <w:t xml:space="preserve"> </w:t>
      </w:r>
      <w:r w:rsidR="00715E5B">
        <w:rPr/>
        <w:t>additionaliteit</w:t>
      </w:r>
      <w:r w:rsidR="00963858">
        <w:rPr/>
        <w:t xml:space="preserve"> </w:t>
      </w:r>
      <w:r w:rsidR="0063518D">
        <w:rPr/>
        <w:t>kan worden</w:t>
      </w:r>
      <w:r w:rsidR="00715E5B">
        <w:rPr/>
        <w:t xml:space="preserve"> onderbouw</w:t>
      </w:r>
      <w:r w:rsidR="0063518D">
        <w:rPr/>
        <w:t>d</w:t>
      </w:r>
      <w:r w:rsidR="00824E49">
        <w:rPr/>
        <w:t>. Dan kunnen</w:t>
      </w:r>
      <w:r w:rsidR="00715E5B">
        <w:rPr/>
        <w:t xml:space="preserve"> initiatiefnemers intern en extern</w:t>
      </w:r>
      <w:r w:rsidR="00824E49">
        <w:rPr/>
        <w:t xml:space="preserve"> </w:t>
      </w:r>
      <w:r w:rsidR="00715E5B">
        <w:rPr/>
        <w:t>salderen</w:t>
      </w:r>
      <w:r w:rsidR="00D55356">
        <w:rPr/>
        <w:t xml:space="preserve"> om projecten mogelijk te maken</w:t>
      </w:r>
      <w:r w:rsidR="00715E5B">
        <w:rPr/>
        <w:t>.</w:t>
      </w:r>
    </w:p>
    <w:p w:rsidR="00963858" w:rsidP="00C35BEA" w:rsidRDefault="00D55356" w14:paraId="26C5B925" w14:textId="3BD351FE" w14:noSpellErr="1">
      <w:pPr>
        <w:pStyle w:val="Lijstalinea"/>
        <w:numPr>
          <w:ilvl w:val="0"/>
          <w:numId w:val="5"/>
        </w:numPr>
        <w:rPr/>
      </w:pPr>
      <w:r w:rsidR="00D55356">
        <w:rPr/>
        <w:t xml:space="preserve">Daar bovenop </w:t>
      </w:r>
      <w:r w:rsidR="0063518D">
        <w:rPr/>
        <w:t xml:space="preserve">willen de provincies </w:t>
      </w:r>
      <w:r w:rsidR="00824E49">
        <w:rPr/>
        <w:t xml:space="preserve">voor de zomer </w:t>
      </w:r>
      <w:r w:rsidRPr="434A86B8" w:rsidR="0063518D">
        <w:rPr>
          <w:u w:val="single"/>
        </w:rPr>
        <w:t>binnen spoor 1 zowel nieuwe als</w:t>
      </w:r>
      <w:r w:rsidRPr="434A86B8" w:rsidR="00D55356">
        <w:rPr>
          <w:u w:val="single"/>
        </w:rPr>
        <w:t xml:space="preserve"> bestaande</w:t>
      </w:r>
      <w:r w:rsidRPr="434A86B8" w:rsidR="0063518D">
        <w:rPr>
          <w:u w:val="single"/>
        </w:rPr>
        <w:t xml:space="preserve"> </w:t>
      </w:r>
      <w:r w:rsidRPr="434A86B8" w:rsidR="00D55356">
        <w:rPr>
          <w:u w:val="single"/>
        </w:rPr>
        <w:t xml:space="preserve">opties voor vergunningverlening </w:t>
      </w:r>
      <w:r w:rsidRPr="434A86B8" w:rsidR="0063518D">
        <w:rPr>
          <w:u w:val="single"/>
        </w:rPr>
        <w:t>maximaal</w:t>
      </w:r>
      <w:r w:rsidRPr="434A86B8" w:rsidR="00D55356">
        <w:rPr>
          <w:u w:val="single"/>
        </w:rPr>
        <w:t xml:space="preserve"> benutten</w:t>
      </w:r>
      <w:r w:rsidR="00D55356">
        <w:rPr/>
        <w:t>. Dat is nodig om</w:t>
      </w:r>
      <w:r w:rsidR="0063518D">
        <w:rPr/>
        <w:t xml:space="preserve"> maatregelen in spoor 2 te kunnen vergunnen, zoals innovatie voor stikstofdaling. En ook om specifieke (typen) projecten een natuurvergunning te kunnen geven.</w:t>
      </w:r>
    </w:p>
    <w:p w:rsidR="0063518D" w:rsidP="0063518D" w:rsidRDefault="0063518D" w14:paraId="171A4F6C" w14:textId="77777777" w14:noSpellErr="1">
      <w:pPr>
        <w:pStyle w:val="Lijstalinea"/>
      </w:pPr>
    </w:p>
    <w:p w:rsidR="0063518D" w:rsidP="00C35BEA" w:rsidRDefault="00824E49" w14:paraId="58FC56C0" w14:textId="2A3167FA" w14:noSpellErr="1">
      <w:pPr>
        <w:pStyle w:val="Lijstalinea"/>
        <w:numPr>
          <w:ilvl w:val="0"/>
          <w:numId w:val="4"/>
        </w:numPr>
        <w:rPr/>
      </w:pPr>
      <w:r w:rsidRPr="434A86B8" w:rsidR="00824E49">
        <w:rPr>
          <w:b w:val="1"/>
          <w:bCs w:val="1"/>
        </w:rPr>
        <w:t>Binnen</w:t>
      </w:r>
      <w:r w:rsidRPr="434A86B8" w:rsidR="0063518D">
        <w:rPr>
          <w:b w:val="1"/>
          <w:bCs w:val="1"/>
        </w:rPr>
        <w:t xml:space="preserve"> spoor 1 </w:t>
      </w:r>
      <w:r w:rsidRPr="434A86B8" w:rsidR="00C50468">
        <w:rPr>
          <w:b w:val="1"/>
          <w:bCs w:val="1"/>
        </w:rPr>
        <w:t xml:space="preserve">willen de provincies </w:t>
      </w:r>
      <w:r w:rsidRPr="434A86B8" w:rsidR="00824E49">
        <w:rPr>
          <w:b w:val="1"/>
          <w:bCs w:val="1"/>
        </w:rPr>
        <w:t>de</w:t>
      </w:r>
      <w:r w:rsidRPr="434A86B8" w:rsidR="0063518D">
        <w:rPr>
          <w:b w:val="1"/>
          <w:bCs w:val="1"/>
        </w:rPr>
        <w:t xml:space="preserve"> volgende opties</w:t>
      </w:r>
      <w:r w:rsidRPr="434A86B8" w:rsidR="007F78BB">
        <w:rPr>
          <w:b w:val="1"/>
          <w:bCs w:val="1"/>
        </w:rPr>
        <w:t xml:space="preserve"> toepassen</w:t>
      </w:r>
      <w:r w:rsidR="0063518D">
        <w:rPr/>
        <w:t xml:space="preserve"> om voor de zomer van het vergunningenslot te komen:</w:t>
      </w:r>
    </w:p>
    <w:p w:rsidR="00C50468" w:rsidP="00C35BEA" w:rsidRDefault="0063518D" w14:paraId="3B377216" w14:textId="74408218" w14:noSpellErr="1">
      <w:pPr>
        <w:pStyle w:val="Lijstalinea"/>
        <w:numPr>
          <w:ilvl w:val="0"/>
          <w:numId w:val="6"/>
        </w:numPr>
        <w:rPr/>
      </w:pPr>
      <w:r w:rsidRPr="434A86B8" w:rsidR="0063518D">
        <w:rPr>
          <w:u w:val="single"/>
        </w:rPr>
        <w:t>Toepassing van de wetenschappelijk onderbouwde rekenkundige ondergrens van 1 mol/ha/jr.</w:t>
      </w:r>
      <w:r w:rsidR="0063518D">
        <w:rPr/>
        <w:t xml:space="preserve"> om schijnzekerheid bij depositieberekeningen te voorkomen</w:t>
      </w:r>
      <w:r w:rsidR="007F78BB">
        <w:rPr/>
        <w:t>, volgens het expertoordeel van prof. Arthur Petersen</w:t>
      </w:r>
      <w:r w:rsidR="0063518D">
        <w:rPr/>
        <w:t xml:space="preserve">. </w:t>
      </w:r>
      <w:r w:rsidR="00824E49">
        <w:rPr/>
        <w:t>Bijgevolg hebben initiatiefnemers van projecten met een depositie tot 1 mol dan geen natuurvergunning meer nodig. Voor de depositie onder de 1 mol wordt de overheid verantwoordelijk, zoals dat ook geldt voor de depositie op meer dan 25 km van emissiebronnen. Voor deze overheidsverantwoordelijkheid dient het maatregelpakket voor stikstofdaling en natuurherstel binnen spoor 2.</w:t>
      </w:r>
    </w:p>
    <w:p w:rsidR="0063518D" w:rsidP="00C35BEA" w:rsidRDefault="00824E49" w14:paraId="7317407B" w14:textId="75ABF3D8" w14:noSpellErr="1">
      <w:pPr>
        <w:pStyle w:val="Lijstalinea"/>
        <w:numPr>
          <w:ilvl w:val="0"/>
          <w:numId w:val="6"/>
        </w:numPr>
        <w:rPr/>
      </w:pPr>
      <w:r w:rsidRPr="434A86B8" w:rsidR="00824E49">
        <w:rPr>
          <w:u w:val="single"/>
        </w:rPr>
        <w:t>Tijdelijke projecten – tot 4 maanden – uitzonderen van de natuurvergunningplicht</w:t>
      </w:r>
      <w:r w:rsidR="00824E49">
        <w:rPr/>
        <w:t xml:space="preserve">. Deze uitzondering </w:t>
      </w:r>
      <w:r w:rsidR="007F78BB">
        <w:rPr/>
        <w:t>is mogelijk</w:t>
      </w:r>
      <w:r w:rsidR="00824E49">
        <w:rPr/>
        <w:t xml:space="preserve"> </w:t>
      </w:r>
      <w:r w:rsidR="007F78BB">
        <w:rPr/>
        <w:t>op basis</w:t>
      </w:r>
      <w:r w:rsidR="00824E49">
        <w:rPr/>
        <w:t xml:space="preserve"> van een wetenschappelijke onderbouwing</w:t>
      </w:r>
      <w:r w:rsidR="00C50468">
        <w:rPr/>
        <w:t>.</w:t>
      </w:r>
      <w:r w:rsidR="00824E49">
        <w:rPr/>
        <w:t xml:space="preserve"> In het kort komt deze onderbouwing erop neer dat AERIUS Calculator rekent met een 10-jaars weergemiddelde, en dat de kans dat het weer</w:t>
      </w:r>
      <w:r w:rsidR="00C50468">
        <w:rPr/>
        <w:t xml:space="preserve"> en vooral de windrichting</w:t>
      </w:r>
      <w:r w:rsidR="00824E49">
        <w:rPr/>
        <w:t xml:space="preserve"> daar bij kortdurende projecten zodanig van afwijkt dat de depositieberekening onbetrouwbaar is wetenschappelijk gezien te groot is (zie bijlage 1).</w:t>
      </w:r>
    </w:p>
    <w:p w:rsidR="007F78BB" w:rsidP="00C35BEA" w:rsidRDefault="007F78BB" w14:paraId="771755B0" w14:textId="6794B7D9" w14:noSpellErr="1">
      <w:pPr>
        <w:pStyle w:val="Lijstalinea"/>
        <w:numPr>
          <w:ilvl w:val="0"/>
          <w:numId w:val="6"/>
        </w:numPr>
        <w:rPr/>
      </w:pPr>
      <w:r w:rsidRPr="434A86B8" w:rsidR="007F78BB">
        <w:rPr>
          <w:u w:val="single"/>
        </w:rPr>
        <w:t>Projecten met een substantiële stikstofwinst aanmerken als passende maatregel</w:t>
      </w:r>
      <w:r w:rsidR="007F78BB">
        <w:rPr/>
        <w:t>.</w:t>
      </w:r>
      <w:r w:rsidR="002B26F1">
        <w:rPr/>
        <w:t xml:space="preserve"> En waar mogelijk gebruik maken van de opties standaardonderdelen, voortzetting één en hetzelfde project en</w:t>
      </w:r>
      <w:r w:rsidR="00DF6A29">
        <w:rPr/>
        <w:t xml:space="preserve"> </w:t>
      </w:r>
      <w:r w:rsidR="002B26F1">
        <w:rPr/>
        <w:t>projecten</w:t>
      </w:r>
      <w:r w:rsidR="00DF6A29">
        <w:rPr/>
        <w:t xml:space="preserve"> aanmerken</w:t>
      </w:r>
      <w:r w:rsidR="002B26F1">
        <w:rPr/>
        <w:t xml:space="preserve"> als beheermaatregel.</w:t>
      </w:r>
      <w:r w:rsidR="00382797">
        <w:rPr/>
        <w:t xml:space="preserve"> Omdat de juridische houdbaarheid niet vaststaat zal hier experimenteerruimte moeten worden genomen, waarbij de provincies aan het Rijk vragen die te faciliteren met een stroppenpot.</w:t>
      </w:r>
    </w:p>
    <w:p w:rsidR="002B26F1" w:rsidP="00C35BEA" w:rsidRDefault="002B26F1" w14:paraId="08FB17AA" w14:textId="530AA52F" w14:noSpellErr="1">
      <w:pPr>
        <w:pStyle w:val="Lijstalinea"/>
        <w:numPr>
          <w:ilvl w:val="0"/>
          <w:numId w:val="6"/>
        </w:numPr>
        <w:rPr/>
      </w:pPr>
      <w:r w:rsidRPr="434A86B8" w:rsidR="002B26F1">
        <w:rPr>
          <w:u w:val="single"/>
        </w:rPr>
        <w:t>Een pro-actiever gebruik van de ecologische beoordeling en de ADC-procedure</w:t>
      </w:r>
      <w:r w:rsidR="002B26F1">
        <w:rPr/>
        <w:t>.</w:t>
      </w:r>
    </w:p>
    <w:p w:rsidR="007F78BB" w:rsidP="007F78BB" w:rsidRDefault="007F78BB" w14:paraId="051BD139" w14:textId="77777777" w14:noSpellErr="1">
      <w:pPr>
        <w:pStyle w:val="Lijstalinea"/>
      </w:pPr>
    </w:p>
    <w:p w:rsidR="007F78BB" w:rsidP="00C35BEA" w:rsidRDefault="002B26F1" w14:paraId="57D6A210" w14:textId="75A6C614" w14:noSpellErr="1">
      <w:pPr>
        <w:pStyle w:val="Lijstalinea"/>
        <w:numPr>
          <w:ilvl w:val="0"/>
          <w:numId w:val="4"/>
        </w:numPr>
        <w:rPr/>
      </w:pPr>
      <w:r w:rsidRPr="434A86B8" w:rsidR="002B26F1">
        <w:rPr>
          <w:b w:val="1"/>
          <w:bCs w:val="1"/>
        </w:rPr>
        <w:t xml:space="preserve">Tot slot </w:t>
      </w:r>
      <w:r w:rsidRPr="434A86B8" w:rsidR="002B26F1">
        <w:rPr>
          <w:b w:val="1"/>
          <w:bCs w:val="1"/>
        </w:rPr>
        <w:t>roepen</w:t>
      </w:r>
      <w:r w:rsidRPr="434A86B8" w:rsidR="002B26F1">
        <w:rPr>
          <w:b w:val="1"/>
          <w:bCs w:val="1"/>
        </w:rPr>
        <w:t xml:space="preserve"> de provincies</w:t>
      </w:r>
      <w:r w:rsidRPr="434A86B8" w:rsidR="002B26F1">
        <w:rPr>
          <w:b w:val="1"/>
          <w:bCs w:val="1"/>
        </w:rPr>
        <w:t xml:space="preserve"> de MCE&amp;N op om</w:t>
      </w:r>
      <w:r w:rsidRPr="434A86B8" w:rsidR="002B26F1">
        <w:rPr>
          <w:b w:val="1"/>
          <w:bCs w:val="1"/>
        </w:rPr>
        <w:t xml:space="preserve"> b</w:t>
      </w:r>
      <w:r w:rsidRPr="434A86B8" w:rsidR="007F78BB">
        <w:rPr>
          <w:b w:val="1"/>
          <w:bCs w:val="1"/>
        </w:rPr>
        <w:t xml:space="preserve">innen spoor 1 </w:t>
      </w:r>
      <w:r w:rsidRPr="434A86B8" w:rsidR="002B26F1">
        <w:rPr>
          <w:b w:val="1"/>
          <w:bCs w:val="1"/>
        </w:rPr>
        <w:t xml:space="preserve">snel </w:t>
      </w:r>
      <w:r w:rsidRPr="434A86B8" w:rsidR="002B26F1">
        <w:rPr>
          <w:b w:val="1"/>
          <w:bCs w:val="1"/>
        </w:rPr>
        <w:t xml:space="preserve">te </w:t>
      </w:r>
      <w:r w:rsidRPr="434A86B8" w:rsidR="002B26F1">
        <w:rPr>
          <w:b w:val="1"/>
          <w:bCs w:val="1"/>
        </w:rPr>
        <w:t>start</w:t>
      </w:r>
      <w:r w:rsidRPr="434A86B8" w:rsidR="002B26F1">
        <w:rPr>
          <w:b w:val="1"/>
          <w:bCs w:val="1"/>
        </w:rPr>
        <w:t>en</w:t>
      </w:r>
      <w:r w:rsidRPr="434A86B8" w:rsidR="002B26F1">
        <w:rPr>
          <w:b w:val="1"/>
          <w:bCs w:val="1"/>
        </w:rPr>
        <w:t xml:space="preserve"> met een systeemwijziging</w:t>
      </w:r>
      <w:r w:rsidR="002B26F1">
        <w:rPr/>
        <w:t xml:space="preserve"> voor de natuurvergunningverlening op </w:t>
      </w:r>
      <w:r w:rsidR="003A3EF2">
        <w:rPr/>
        <w:t>middellange en langere termijn</w:t>
      </w:r>
      <w:r w:rsidR="002B26F1">
        <w:rPr/>
        <w:t xml:space="preserve">, gebaseerd op het milieuspoor. </w:t>
      </w:r>
      <w:r w:rsidR="003A3EF2">
        <w:rPr/>
        <w:t xml:space="preserve">De provincies zien de volgende </w:t>
      </w:r>
      <w:r w:rsidR="002B26F1">
        <w:rPr/>
        <w:t>kernelementen</w:t>
      </w:r>
      <w:r w:rsidR="003A3EF2">
        <w:rPr/>
        <w:t xml:space="preserve"> van zo’n systeemwijziging (waarvoor de Vlaamse stikstofaanpak mede model kan staan):</w:t>
      </w:r>
    </w:p>
    <w:p w:rsidR="003A3EF2" w:rsidP="00C35BEA" w:rsidRDefault="003A3EF2" w14:paraId="07053B25" w14:textId="566F4E65" w14:noSpellErr="1">
      <w:pPr>
        <w:pStyle w:val="Lijstalinea"/>
        <w:numPr>
          <w:ilvl w:val="0"/>
          <w:numId w:val="7"/>
        </w:numPr>
        <w:rPr/>
      </w:pPr>
      <w:r w:rsidR="003A3EF2">
        <w:rPr/>
        <w:t xml:space="preserve">Van depositiesturing naar </w:t>
      </w:r>
      <w:r w:rsidRPr="434A86B8" w:rsidR="003A3EF2">
        <w:rPr>
          <w:u w:val="single"/>
        </w:rPr>
        <w:t>op emissiereductie gerichte doelsturing</w:t>
      </w:r>
      <w:r w:rsidR="003A3EF2">
        <w:rPr/>
        <w:t>.</w:t>
      </w:r>
    </w:p>
    <w:p w:rsidRPr="009258E8" w:rsidR="003A3EF2" w:rsidP="00C35BEA" w:rsidRDefault="003A3EF2" w14:paraId="58E46F1C" w14:textId="4F0E8378" w14:noSpellErr="1">
      <w:pPr>
        <w:pStyle w:val="Lijstalinea"/>
        <w:numPr>
          <w:ilvl w:val="0"/>
          <w:numId w:val="7"/>
        </w:numPr>
        <w:rPr/>
      </w:pPr>
      <w:r w:rsidRPr="434A86B8" w:rsidR="003A3EF2">
        <w:rPr>
          <w:u w:val="single"/>
        </w:rPr>
        <w:t>Algemene regels als basis</w:t>
      </w:r>
      <w:r w:rsidR="003A3EF2">
        <w:rPr/>
        <w:t xml:space="preserve"> voor de regulering van activiteiten; </w:t>
      </w:r>
      <w:r w:rsidRPr="434A86B8" w:rsidR="003A3EF2">
        <w:rPr>
          <w:u w:val="single"/>
        </w:rPr>
        <w:t>natuurvergunningen alleen nog voor de grootste uitstoters</w:t>
      </w:r>
      <w:r w:rsidR="003A3EF2">
        <w:rPr/>
        <w:t xml:space="preserve"> van stikstof die er voor de natuur werkelijk toe doen.</w:t>
      </w:r>
    </w:p>
    <w:p w:rsidRPr="00465CB8" w:rsidR="00DF6A29" w:rsidP="434A86B8" w:rsidRDefault="00376F99" w14:paraId="1196C013" w14:textId="3E4B6714" w14:noSpellErr="1">
      <w:pPr>
        <w:pStyle w:val="Lijstalinea"/>
        <w:numPr>
          <w:ilvl w:val="0"/>
          <w:numId w:val="7"/>
        </w:numPr>
        <w:rPr>
          <w:u w:val="single"/>
        </w:rPr>
      </w:pPr>
      <w:r w:rsidRPr="434A86B8" w:rsidR="00376F99">
        <w:rPr>
          <w:u w:val="single"/>
        </w:rPr>
        <w:t>Het Rijk gaat uit van een</w:t>
      </w:r>
      <w:r w:rsidRPr="434A86B8" w:rsidR="003A3EF2">
        <w:rPr>
          <w:u w:val="single"/>
        </w:rPr>
        <w:t xml:space="preserve"> emissiereductie van 50% in 2030 vergeleken met 2019</w:t>
      </w:r>
      <w:r w:rsidRPr="434A86B8" w:rsidR="00DC51CB">
        <w:rPr>
          <w:u w:val="single"/>
        </w:rPr>
        <w:t xml:space="preserve">. </w:t>
      </w:r>
    </w:p>
    <w:p w:rsidR="48FA96A4" w:rsidP="434A86B8" w:rsidRDefault="48FA96A4" w14:paraId="58A18F17" w14:textId="06E0AE9E" w14:noSpellErr="1">
      <w:pPr>
        <w:ind w:left="360" w:hanging="360"/>
        <w:rPr>
          <w:b w:val="1"/>
          <w:bCs w:val="1"/>
          <w:i w:val="1"/>
          <w:iCs w:val="1"/>
          <w:sz w:val="32"/>
          <w:szCs w:val="32"/>
        </w:rPr>
      </w:pPr>
    </w:p>
    <w:p w:rsidRPr="0018453F" w:rsidR="009950B8" w:rsidP="434A86B8" w:rsidRDefault="003A3EF2" w14:paraId="6FB6FD66" w14:textId="4FD616A6" w14:noSpellErr="1">
      <w:pPr>
        <w:ind w:left="360" w:hanging="360"/>
        <w:rPr>
          <w:b w:val="1"/>
          <w:bCs w:val="1"/>
          <w:i w:val="1"/>
          <w:iCs w:val="1"/>
          <w:sz w:val="32"/>
          <w:szCs w:val="32"/>
        </w:rPr>
      </w:pPr>
      <w:r w:rsidRPr="434A86B8" w:rsidR="003A3EF2">
        <w:rPr>
          <w:b w:val="1"/>
          <w:bCs w:val="1"/>
          <w:i w:val="1"/>
          <w:iCs w:val="1"/>
          <w:sz w:val="32"/>
          <w:szCs w:val="32"/>
        </w:rPr>
        <w:t>Toelichting</w:t>
      </w:r>
      <w:r w:rsidRPr="434A86B8" w:rsidR="003A3EF2">
        <w:rPr>
          <w:b w:val="1"/>
          <w:bCs w:val="1"/>
          <w:i w:val="1"/>
          <w:iCs w:val="1"/>
          <w:sz w:val="32"/>
          <w:szCs w:val="32"/>
        </w:rPr>
        <w:t xml:space="preserve"> </w:t>
      </w:r>
      <w:r w:rsidRPr="434A86B8" w:rsidR="00CA5288">
        <w:rPr>
          <w:b w:val="1"/>
          <w:bCs w:val="1"/>
          <w:i w:val="1"/>
          <w:iCs w:val="1"/>
          <w:sz w:val="32"/>
          <w:szCs w:val="32"/>
        </w:rPr>
        <w:t xml:space="preserve">hoofdboodschap inzet </w:t>
      </w:r>
      <w:r w:rsidRPr="434A86B8" w:rsidR="003A3EF2">
        <w:rPr>
          <w:b w:val="1"/>
          <w:bCs w:val="1"/>
          <w:i w:val="1"/>
          <w:iCs w:val="1"/>
          <w:sz w:val="32"/>
          <w:szCs w:val="32"/>
        </w:rPr>
        <w:t>provincies spoor 1</w:t>
      </w:r>
    </w:p>
    <w:p w:rsidR="004F7AF8" w:rsidP="00C35BEA" w:rsidRDefault="00996667" w14:paraId="2F3F6B26" w14:textId="3868B9A6">
      <w:pPr>
        <w:pStyle w:val="Lijstalinea"/>
        <w:numPr>
          <w:ilvl w:val="0"/>
          <w:numId w:val="1"/>
        </w:numPr>
        <w:rPr/>
      </w:pPr>
      <w:r w:rsidRPr="434A86B8" w:rsidR="00996667">
        <w:rPr>
          <w:b w:val="1"/>
          <w:bCs w:val="1"/>
        </w:rPr>
        <w:t xml:space="preserve">De provincies </w:t>
      </w:r>
      <w:r w:rsidRPr="434A86B8" w:rsidR="006C62D7">
        <w:rPr>
          <w:b w:val="1"/>
          <w:bCs w:val="1"/>
        </w:rPr>
        <w:t>willen</w:t>
      </w:r>
      <w:r w:rsidRPr="434A86B8" w:rsidR="00996667">
        <w:rPr>
          <w:b w:val="1"/>
          <w:bCs w:val="1"/>
        </w:rPr>
        <w:t xml:space="preserve"> dat de natuurvergunningverlening voor de zomer van 2025 weer breed en structureel op gang </w:t>
      </w:r>
      <w:r w:rsidRPr="434A86B8" w:rsidR="006C62D7">
        <w:rPr>
          <w:b w:val="1"/>
          <w:bCs w:val="1"/>
        </w:rPr>
        <w:t>is</w:t>
      </w:r>
      <w:r w:rsidRPr="434A86B8" w:rsidR="00996667">
        <w:rPr>
          <w:b w:val="1"/>
          <w:bCs w:val="1"/>
        </w:rPr>
        <w:t xml:space="preserve"> gebracht</w:t>
      </w:r>
      <w:r w:rsidRPr="434A86B8" w:rsidR="00DF6A29">
        <w:rPr>
          <w:b w:val="1"/>
          <w:bCs w:val="1"/>
        </w:rPr>
        <w:t xml:space="preserve"> en zien dat spoor 2 hiervoor doorslaggevend is</w:t>
      </w:r>
      <w:r w:rsidRPr="434A86B8" w:rsidR="00996667">
        <w:rPr>
          <w:b w:val="1"/>
          <w:bCs w:val="1"/>
        </w:rPr>
        <w:t>.</w:t>
      </w:r>
      <w:r w:rsidRPr="434A86B8" w:rsidR="00B72B4E">
        <w:rPr>
          <w:b w:val="1"/>
          <w:bCs w:val="1"/>
        </w:rPr>
        <w:t xml:space="preserve"> </w:t>
      </w:r>
      <w:r w:rsidRPr="434A86B8" w:rsidR="00DF6A29">
        <w:rPr/>
        <w:t>Voor de zomer van het vergunningenslot lukt dus alleen als spoor 1 met spoor 2 wordt gecombineerd</w:t>
      </w:r>
      <w:r w:rsidRPr="434A86B8" w:rsidR="00CA5288">
        <w:rPr/>
        <w:t>,</w:t>
      </w:r>
      <w:r w:rsidRPr="434A86B8" w:rsidR="00605511">
        <w:rPr/>
        <w:t xml:space="preserve"> </w:t>
      </w:r>
      <w:r w:rsidRPr="434A86B8" w:rsidR="00CA5288">
        <w:rPr/>
        <w:t>m</w:t>
      </w:r>
      <w:r w:rsidRPr="434A86B8" w:rsidR="00605511">
        <w:rPr/>
        <w:t xml:space="preserve">et andere woorden: </w:t>
      </w:r>
      <w:r w:rsidRPr="434A86B8" w:rsidR="00DF6A29">
        <w:rPr/>
        <w:t xml:space="preserve">spoor 2 is </w:t>
      </w:r>
      <w:r w:rsidRPr="434A86B8" w:rsidR="00DF6A29">
        <w:rPr/>
        <w:t>randvoorwaardelijk</w:t>
      </w:r>
      <w:r w:rsidRPr="434A86B8" w:rsidR="007A396F">
        <w:rPr/>
        <w:t>.</w:t>
      </w:r>
      <w:r w:rsidRPr="434A86B8" w:rsidR="006C62D7">
        <w:rPr/>
        <w:t xml:space="preserve"> Daarom willen de provincies </w:t>
      </w:r>
      <w:r w:rsidRPr="007F78BB" w:rsidR="006C62D7">
        <w:rPr/>
        <w:t>voor de zomer</w:t>
      </w:r>
      <w:r w:rsidR="006C62D7">
        <w:rPr/>
        <w:t xml:space="preserve"> </w:t>
      </w:r>
      <w:r w:rsidRPr="006C62D7" w:rsidR="006C62D7">
        <w:rPr>
          <w:u w:val="single"/>
        </w:rPr>
        <w:t xml:space="preserve">een </w:t>
      </w:r>
      <w:r w:rsidR="00032473">
        <w:rPr>
          <w:u w:val="single"/>
        </w:rPr>
        <w:t>geborgd</w:t>
      </w:r>
      <w:r w:rsidRPr="006C62D7" w:rsidR="006C62D7">
        <w:rPr>
          <w:u w:val="single"/>
        </w:rPr>
        <w:t xml:space="preserve"> maatregelpakket voor stikstofdaling en natuurherstel binnen spoor 2</w:t>
      </w:r>
      <w:r w:rsidR="006C62D7">
        <w:rPr>
          <w:u w:val="single"/>
        </w:rPr>
        <w:t>.</w:t>
      </w:r>
      <w:r w:rsidR="006C62D7">
        <w:rPr/>
        <w:t xml:space="preserve"> Dat pakket moet geborgd en toereikend zijn</w:t>
      </w:r>
      <w:r w:rsidR="00032473">
        <w:rPr/>
        <w:t xml:space="preserve"> voor doelbereik</w:t>
      </w:r>
      <w:r w:rsidR="006C62D7">
        <w:rPr/>
        <w:t xml:space="preserve"> om </w:t>
      </w:r>
      <w:r w:rsidR="006C62D7">
        <w:rPr/>
        <w:t>additionaliteit</w:t>
      </w:r>
      <w:r w:rsidR="006C62D7">
        <w:rPr/>
        <w:t xml:space="preserve"> te kunnen onderbouwen</w:t>
      </w:r>
      <w:r w:rsidR="00CA5288">
        <w:rPr/>
        <w:t>,</w:t>
      </w:r>
      <w:r w:rsidR="006C62D7">
        <w:rPr/>
        <w:t xml:space="preserve"> </w:t>
      </w:r>
      <w:r w:rsidR="00CA5288">
        <w:rPr/>
        <w:t>w</w:t>
      </w:r>
      <w:r w:rsidR="00DF6A29">
        <w:rPr/>
        <w:t>ant alleen</w:t>
      </w:r>
      <w:r w:rsidR="006C62D7">
        <w:rPr/>
        <w:t xml:space="preserve"> dan kunnen er weer vergunningen worden verleend op basis van intern en extern salderen</w:t>
      </w:r>
      <w:r w:rsidR="00CA5288">
        <w:rPr/>
        <w:t xml:space="preserve"> </w:t>
      </w:r>
      <w:r w:rsidR="00CA5288">
        <w:rPr>
          <w:rStyle w:val="Voetnootmarkering"/>
        </w:rPr>
        <w:footnoteReference w:id="2"/>
      </w:r>
      <w:r w:rsidR="006C62D7">
        <w:rPr/>
        <w:t>.</w:t>
      </w:r>
      <w:r w:rsidR="00DF6A29">
        <w:rPr/>
        <w:t xml:space="preserve"> Overigens hoeft</w:t>
      </w:r>
      <w:r w:rsidR="006C62D7">
        <w:rPr/>
        <w:t xml:space="preserve"> </w:t>
      </w:r>
      <w:r w:rsidR="00DF6A29">
        <w:rPr/>
        <w:t>he</w:t>
      </w:r>
      <w:r w:rsidRPr="004F7AF8" w:rsidR="004F7AF8">
        <w:rPr/>
        <w:t xml:space="preserve">t effect van </w:t>
      </w:r>
      <w:r w:rsidR="006C62D7">
        <w:rPr/>
        <w:t>het</w:t>
      </w:r>
      <w:r w:rsidRPr="004F7AF8" w:rsidR="004F7AF8">
        <w:rPr/>
        <w:t xml:space="preserve"> </w:t>
      </w:r>
      <w:r w:rsidR="006C62D7">
        <w:rPr/>
        <w:t>maatregel</w:t>
      </w:r>
      <w:r w:rsidRPr="004F7AF8" w:rsidR="004F7AF8">
        <w:rPr/>
        <w:t>pakket nog niet zichtbaar te zijn om weer vergunningen te kunnen verlenen</w:t>
      </w:r>
      <w:r w:rsidR="00DF6A29">
        <w:rPr/>
        <w:t>, a</w:t>
      </w:r>
      <w:r w:rsidRPr="004F7AF8" w:rsidR="004F7AF8">
        <w:rPr/>
        <w:t>ls maar vaststaat dat de</w:t>
      </w:r>
      <w:r w:rsidR="006C62D7">
        <w:rPr/>
        <w:t xml:space="preserve"> </w:t>
      </w:r>
      <w:r w:rsidRPr="004F7AF8" w:rsidR="004F7AF8">
        <w:rPr/>
        <w:t xml:space="preserve">maatregelen </w:t>
      </w:r>
      <w:r w:rsidR="00032473">
        <w:rPr/>
        <w:t xml:space="preserve">daadwerkelijk </w:t>
      </w:r>
      <w:r w:rsidRPr="004F7AF8" w:rsidR="004F7AF8">
        <w:rPr/>
        <w:t>genomen worden</w:t>
      </w:r>
      <w:r w:rsidR="00032473">
        <w:rPr/>
        <w:t xml:space="preserve"> – door juridische vastlegging met een stok achter de deur plus financiering –</w:t>
      </w:r>
      <w:r w:rsidRPr="004F7AF8" w:rsidR="004F7AF8">
        <w:rPr/>
        <w:t xml:space="preserve"> en </w:t>
      </w:r>
      <w:r w:rsidR="00DF6A29">
        <w:rPr/>
        <w:t xml:space="preserve">zullen </w:t>
      </w:r>
      <w:r w:rsidR="006C62D7">
        <w:rPr/>
        <w:t>leiden tot doelbereik.</w:t>
      </w:r>
    </w:p>
    <w:p w:rsidR="00DF6A29" w:rsidP="00DF6A29" w:rsidRDefault="00DF6A29" w14:paraId="0E0AAA09" w14:textId="77777777" w14:noSpellErr="1">
      <w:pPr>
        <w:pStyle w:val="Lijstalinea"/>
        <w:ind w:left="360"/>
      </w:pPr>
    </w:p>
    <w:p w:rsidR="00DF6A29" w:rsidP="00C35BEA" w:rsidRDefault="00DF6A29" w14:paraId="43688A7A" w14:textId="75CDA452" w14:noSpellErr="1">
      <w:pPr>
        <w:pStyle w:val="Lijstalinea"/>
        <w:numPr>
          <w:ilvl w:val="0"/>
          <w:numId w:val="1"/>
        </w:numPr>
        <w:rPr/>
      </w:pPr>
      <w:r w:rsidRPr="434A86B8" w:rsidR="00DF6A29">
        <w:rPr>
          <w:b w:val="1"/>
          <w:bCs w:val="1"/>
        </w:rPr>
        <w:t>De provincies willen voor de zomer binnen spoor 1 zowel nieuwe als bestaande opties voor vergunningverlening maximaal benutten</w:t>
      </w:r>
      <w:r w:rsidR="00DF6A29">
        <w:rPr/>
        <w:t xml:space="preserve">. Dat is nodig om maatregelen in spoor 2 te kunnen vergunnen, zoals innovatie voor stikstofdaling. En ook om specifieke (typen) projecten </w:t>
      </w:r>
      <w:r w:rsidR="0018453F">
        <w:rPr/>
        <w:t xml:space="preserve">al </w:t>
      </w:r>
      <w:r w:rsidR="00DF6A29">
        <w:rPr/>
        <w:t>een natuurvergunning te kunnen geven.</w:t>
      </w:r>
      <w:r w:rsidR="00605511">
        <w:rPr/>
        <w:t xml:space="preserve"> Het gaat om de volgende opties:</w:t>
      </w:r>
    </w:p>
    <w:p w:rsidR="00605511" w:rsidP="00C35BEA" w:rsidRDefault="00DF6A29" w14:paraId="310AE7A4" w14:textId="7E6B2A21" w14:noSpellErr="1">
      <w:pPr>
        <w:pStyle w:val="Lijstalinea"/>
        <w:numPr>
          <w:ilvl w:val="0"/>
          <w:numId w:val="8"/>
        </w:numPr>
        <w:rPr/>
      </w:pPr>
      <w:r w:rsidRPr="434A86B8" w:rsidR="00DF6A29">
        <w:rPr>
          <w:u w:val="single"/>
        </w:rPr>
        <w:t>Toepassing van de wetenschappelijk onderbouwde rekenkundige ondergrens van 1 mol/ha/jr.</w:t>
      </w:r>
      <w:r w:rsidR="00DF6A29">
        <w:rPr/>
        <w:t xml:space="preserve"> om schijnzekerheid bij depositieberekeningen te voorkomen, volgens het expertoordeel van prof. Arthur Petersen. Bijgevolg hebben initiatiefnemers van projecten met een depositie tot 1 mol</w:t>
      </w:r>
      <w:r w:rsidR="00CA5288">
        <w:rPr/>
        <w:t xml:space="preserve"> – inclusief de PAS-melders –</w:t>
      </w:r>
      <w:r w:rsidR="00DF6A29">
        <w:rPr/>
        <w:t xml:space="preserve"> dan geen natuurvergunning meer nodig. Voor de depositie onder de 1 mol wordt de overheid verantwoordelijk, zoals dat ook geldt voor de depositie op meer dan 25 km van emissiebronnen. Voor deze overheidsverantwoordelijkheid dient het maatregelpakket voor stikstofdaling en natuurherstel binnen spoor 2.</w:t>
      </w:r>
    </w:p>
    <w:p w:rsidRPr="00605511" w:rsidR="00605511" w:rsidP="434A86B8" w:rsidRDefault="00DF6A29" w14:paraId="7B547C8D" w14:textId="77777777" w14:noSpellErr="1">
      <w:pPr>
        <w:pStyle w:val="Lijstalinea"/>
        <w:numPr>
          <w:ilvl w:val="0"/>
          <w:numId w:val="8"/>
        </w:numPr>
        <w:rPr>
          <w:rFonts w:cs="Calibri"/>
          <w:color w:val="000000" w:themeColor="text1" w:themeTint="FF" w:themeShade="FF"/>
        </w:rPr>
      </w:pPr>
      <w:r w:rsidRPr="00605511" w:rsidR="00DF6A29">
        <w:rPr>
          <w:u w:val="single"/>
        </w:rPr>
        <w:t>Tijdelijke projecten – tot 4 maanden – uitzonderen van de natuurvergunningplicht</w:t>
      </w:r>
      <w:r w:rsidR="00DF6A29">
        <w:rPr/>
        <w:t>. Deze uitzondering is mogelijk op basis van een wetenschappelijke onderbouwing. In het kort komt deze onderbouwing erop neer dat AERIUS Calculator rekent met een 10-jaars weergemiddelde, en dat de kans dat het weer en vooral de windrichting daar bij kortdurende projecten zodanig van afwijkt dat de depositieberekening onbetrouwbaar is wetenschappelijk gezien te groot is</w:t>
      </w:r>
      <w:r w:rsidR="00605511">
        <w:rPr/>
        <w:t xml:space="preserve">. </w:t>
      </w:r>
      <w:r w:rsidR="00605511">
        <w:rPr>
          <w:rFonts w:cs="Calibri"/>
          <w:color w:val="000000"/>
          <w:kern w:val="0"/>
        </w:rPr>
        <w:t>Uit de wetenschappelijke onderbouwing blijkt</w:t>
      </w:r>
      <w:r w:rsidRPr="00605511" w:rsidR="00605511">
        <w:rPr>
          <w:rFonts w:cs="Calibri"/>
          <w:color w:val="000000"/>
          <w:kern w:val="0"/>
        </w:rPr>
        <w:t xml:space="preserve"> dat deposities </w:t>
      </w:r>
      <w:r w:rsidR="00605511">
        <w:rPr>
          <w:rFonts w:cs="Calibri"/>
          <w:color w:val="000000"/>
          <w:kern w:val="0"/>
        </w:rPr>
        <w:t>als gevolg</w:t>
      </w:r>
      <w:r w:rsidRPr="00605511" w:rsidR="00605511">
        <w:rPr>
          <w:rFonts w:cs="Calibri"/>
          <w:color w:val="000000"/>
          <w:kern w:val="0"/>
        </w:rPr>
        <w:t xml:space="preserve"> van emissies die korter duren dan 4 maanden, niet met voldoende zekerheid aan een bron kunnen worden toegewezen</w:t>
      </w:r>
      <w:r w:rsidR="00605511">
        <w:rPr>
          <w:rFonts w:cs="Calibri"/>
          <w:color w:val="000000"/>
          <w:kern w:val="0"/>
        </w:rPr>
        <w:t>; de 95% onzekerheidsfactor is dan 2 of lager dan 2 (zie bijlage 1)</w:t>
      </w:r>
      <w:r w:rsidRPr="00605511" w:rsidR="00605511">
        <w:rPr>
          <w:rFonts w:cs="Calibri"/>
          <w:color w:val="000000"/>
          <w:kern w:val="0"/>
        </w:rPr>
        <w:t>.</w:t>
      </w:r>
    </w:p>
    <w:p w:rsidR="0018453F" w:rsidP="00C35BEA" w:rsidRDefault="00DF6A29" w14:paraId="31FBB38C" w14:textId="77777777" w14:noSpellErr="1">
      <w:pPr>
        <w:pStyle w:val="Lijstalinea"/>
        <w:numPr>
          <w:ilvl w:val="0"/>
          <w:numId w:val="8"/>
        </w:numPr>
        <w:rPr/>
      </w:pPr>
      <w:r w:rsidRPr="434A86B8" w:rsidR="00DF6A29">
        <w:rPr>
          <w:u w:val="single"/>
        </w:rPr>
        <w:t>Projecten met een substantiële stikstofwinst aanmerken als passende maatregel</w:t>
      </w:r>
      <w:r w:rsidR="00DF6A29">
        <w:rPr/>
        <w:t>.</w:t>
      </w:r>
      <w:r w:rsidR="00605511">
        <w:rPr/>
        <w:t xml:space="preserve"> </w:t>
      </w:r>
    </w:p>
    <w:p w:rsidR="0018453F" w:rsidP="00C35BEA" w:rsidRDefault="00605511" w14:paraId="747A0D4F" w14:textId="0DE57A4F">
      <w:pPr>
        <w:pStyle w:val="Lijstalinea"/>
        <w:numPr>
          <w:ilvl w:val="0"/>
          <w:numId w:val="12"/>
        </w:numPr>
        <w:rPr/>
      </w:pPr>
      <w:r w:rsidR="00605511">
        <w:rPr/>
        <w:t xml:space="preserve">Projecten </w:t>
      </w:r>
      <w:r w:rsidR="00D7613F">
        <w:rPr/>
        <w:t>met</w:t>
      </w:r>
      <w:r w:rsidR="00605511">
        <w:rPr/>
        <w:t xml:space="preserve"> een substantiële stikstofreductie kunnen worden aangemerkt als passende maatregel van de overheid (</w:t>
      </w:r>
      <w:r w:rsidR="00605511">
        <w:rPr/>
        <w:t>Hrl</w:t>
      </w:r>
      <w:r w:rsidR="00605511">
        <w:rPr/>
        <w:t xml:space="preserve"> art. 6.2). Voor de resterende activiteiten van deze projecten is er naar verwachting meestal wel een natuurvergunning nodig, maar daarbij hoeft </w:t>
      </w:r>
      <w:r w:rsidR="00605511">
        <w:rPr/>
        <w:t>additionaliteit</w:t>
      </w:r>
      <w:r w:rsidR="00605511">
        <w:rPr/>
        <w:t xml:space="preserve"> niet te worden onderbouwd (terwijl dat nu hét struikelblok is). Deze optie achten de provincies in ieder geval houdbaar </w:t>
      </w:r>
      <w:r w:rsidR="004773D0">
        <w:rPr/>
        <w:t xml:space="preserve">en willen zij </w:t>
      </w:r>
      <w:r w:rsidR="004773D0">
        <w:rPr/>
        <w:t xml:space="preserve">inzetten </w:t>
      </w:r>
      <w:r w:rsidR="00605511">
        <w:rPr/>
        <w:t>voor de stoppersregelingen, waarbij 85% van de stikstofuitstoot van de intensieve veehouderij op een locatie wegvalt (de resterende 15% mag worden behouden voor een nieuwe activiteit op dezelfde locatie).</w:t>
      </w:r>
    </w:p>
    <w:p w:rsidR="00605511" w:rsidP="434A86B8" w:rsidRDefault="00605511" w14:paraId="76E8C19A" w14:textId="2D3C118D">
      <w:pPr>
        <w:pStyle w:val="Lijstalinea"/>
        <w:numPr>
          <w:ilvl w:val="0"/>
          <w:numId w:val="12"/>
        </w:numPr>
        <w:rPr>
          <w:rFonts w:ascii="Aptos" w:hAnsi="Aptos" w:cs="Aptos"/>
        </w:rPr>
      </w:pPr>
      <w:r w:rsidR="00605511">
        <w:rPr/>
        <w:t xml:space="preserve">De optie om projecten aan te merken als passende maatregel zouden de provincies </w:t>
      </w:r>
      <w:r w:rsidR="004773D0">
        <w:rPr/>
        <w:t>verder</w:t>
      </w:r>
      <w:r w:rsidR="00605511">
        <w:rPr/>
        <w:t xml:space="preserve"> willen proberen voor projecten met een substantiële stikstofwinst</w:t>
      </w:r>
      <w:r w:rsidRPr="0018453F" w:rsidR="00605511">
        <w:rPr>
          <w:rFonts w:ascii="Aptos" w:hAnsi="Aptos" w:cs="Aptos"/>
          <w:kern w:val="0"/>
        </w:rPr>
        <w:t xml:space="preserve"> door innovatie, extensivering, omvorming, verduurzaming of verplaatsing. </w:t>
      </w:r>
      <w:r w:rsidRPr="0018453F" w:rsidR="004773D0">
        <w:rPr>
          <w:rFonts w:ascii="Aptos" w:hAnsi="Aptos" w:cs="Aptos"/>
          <w:kern w:val="0"/>
        </w:rPr>
        <w:t xml:space="preserve">Hiervoor is het </w:t>
      </w:r>
      <w:r w:rsidRPr="0018453F" w:rsidR="004773D0">
        <w:rPr>
          <w:rFonts w:ascii="Aptos" w:hAnsi="Aptos" w:cs="Aptos"/>
          <w:kern w:val="0"/>
        </w:rPr>
        <w:t>pro-actief</w:t>
      </w:r>
      <w:r w:rsidRPr="0018453F" w:rsidR="004773D0">
        <w:rPr>
          <w:rFonts w:ascii="Aptos" w:hAnsi="Aptos" w:cs="Aptos"/>
          <w:kern w:val="0"/>
        </w:rPr>
        <w:t xml:space="preserve"> nemen van een zekere experimenteerruimte noodzakelijk, omdat de juridische houdbaarheid niet op voorhand vaststaat maar via jurisprudentie zal moeten blijken. De provincies vragen het Rijk om de noodzakelijke experimenteerruimte te faciliteren met een stroppenpot.</w:t>
      </w:r>
    </w:p>
    <w:p w:rsidRPr="00F222FB" w:rsidR="004773D0" w:rsidP="00C35BEA" w:rsidRDefault="004773D0" w14:paraId="481CEF56" w14:textId="5E9B7C0F">
      <w:pPr>
        <w:pStyle w:val="Lijstalinea"/>
        <w:numPr>
          <w:ilvl w:val="0"/>
          <w:numId w:val="8"/>
        </w:numPr>
        <w:rPr/>
      </w:pPr>
      <w:r w:rsidRPr="004773D0" w:rsidR="004773D0">
        <w:rPr>
          <w:u w:val="single"/>
        </w:rPr>
        <w:t>De optie van standaardonderdelen van een project</w:t>
      </w:r>
      <w:r w:rsidRPr="00F222FB" w:rsidR="004773D0">
        <w:rPr/>
        <w:t xml:space="preserve">, waardoor kan worden volstaan met een </w:t>
      </w:r>
      <w:r w:rsidRPr="00F222FB" w:rsidR="004773D0">
        <w:rPr/>
        <w:t>voortoets</w:t>
      </w:r>
      <w:r w:rsidRPr="00F222FB" w:rsidR="004773D0">
        <w:rPr/>
        <w:t xml:space="preserve"> en er geen natuurvergunning nodig is. Toepassing van deze optie lijkt </w:t>
      </w:r>
      <w:r w:rsidR="004773D0">
        <w:rPr/>
        <w:t>vooral mogelijk voor</w:t>
      </w:r>
      <w:r w:rsidRPr="00F222FB" w:rsidR="004773D0">
        <w:rPr/>
        <w:t xml:space="preserve"> projecten </w:t>
      </w:r>
      <w:r w:rsidR="004773D0">
        <w:rPr/>
        <w:t>die nodig zijn</w:t>
      </w:r>
      <w:r w:rsidRPr="00F222FB" w:rsidR="004773D0">
        <w:rPr/>
        <w:t xml:space="preserve"> vanwege algemene wet- en regelgeving </w:t>
      </w:r>
      <w:r w:rsidR="004773D0">
        <w:rPr/>
        <w:t>en mogelijk ook</w:t>
      </w:r>
      <w:r w:rsidRPr="00F222FB" w:rsidR="004773D0">
        <w:rPr/>
        <w:t xml:space="preserve"> wijdverbreide praktijken</w:t>
      </w:r>
      <w:r w:rsidRPr="006A4FE2">
        <w:rPr>
          <w:vertAlign w:val="superscript"/>
        </w:rPr>
        <w:footnoteReference w:id="3"/>
      </w:r>
      <w:r w:rsidR="004773D0">
        <w:rPr/>
        <w:t>.</w:t>
      </w:r>
    </w:p>
    <w:p w:rsidR="004773D0" w:rsidP="00C35BEA" w:rsidRDefault="004773D0" w14:paraId="1916891E" w14:textId="47BE8D74" w14:noSpellErr="1">
      <w:pPr>
        <w:pStyle w:val="Lijstalinea"/>
        <w:numPr>
          <w:ilvl w:val="0"/>
          <w:numId w:val="8"/>
        </w:numPr>
        <w:rPr/>
      </w:pPr>
      <w:r w:rsidRPr="434A86B8" w:rsidR="004773D0">
        <w:rPr>
          <w:u w:val="single"/>
        </w:rPr>
        <w:t>De optie van voortzetting van één-en-het-zelfde-project</w:t>
      </w:r>
      <w:r w:rsidR="004773D0">
        <w:rPr/>
        <w:t xml:space="preserve">, waarbij bepaalde </w:t>
      </w:r>
      <w:r w:rsidR="004773D0">
        <w:rPr/>
        <w:t>project</w:t>
      </w:r>
      <w:r w:rsidR="004773D0">
        <w:rPr/>
        <w:t>wijzigingen zonder vergunning realiseerbaar zijn en niet noodzakelijkerwijs inhouden dat het complete project opnieuw moet worden beoordeeld.</w:t>
      </w:r>
      <w:r w:rsidR="004773D0">
        <w:rPr/>
        <w:t xml:space="preserve"> </w:t>
      </w:r>
      <w:r w:rsidR="004773D0">
        <w:rPr/>
        <w:t>D</w:t>
      </w:r>
      <w:r w:rsidR="004773D0">
        <w:rPr/>
        <w:t xml:space="preserve">e identiteit en continuïteit van het project </w:t>
      </w:r>
      <w:r w:rsidR="004773D0">
        <w:rPr/>
        <w:t xml:space="preserve">moeten </w:t>
      </w:r>
      <w:r w:rsidR="004773D0">
        <w:rPr/>
        <w:t>hetzelfde blij</w:t>
      </w:r>
      <w:r w:rsidR="004773D0">
        <w:rPr/>
        <w:t>ven;</w:t>
      </w:r>
      <w:r w:rsidR="004773D0">
        <w:rPr/>
        <w:t xml:space="preserve"> er</w:t>
      </w:r>
      <w:r w:rsidR="004773D0">
        <w:rPr/>
        <w:t xml:space="preserve"> mag</w:t>
      </w:r>
      <w:r w:rsidR="004773D0">
        <w:rPr/>
        <w:t xml:space="preserve"> niets wijzig</w:t>
      </w:r>
      <w:r w:rsidR="004773D0">
        <w:rPr/>
        <w:t>en</w:t>
      </w:r>
      <w:r w:rsidR="004773D0">
        <w:rPr/>
        <w:t xml:space="preserve"> in de aard, de plaats of de voorwaarden waaronder een project mag plaatsvinden</w:t>
      </w:r>
      <w:r w:rsidR="004773D0">
        <w:rPr/>
        <w:t>;</w:t>
      </w:r>
    </w:p>
    <w:p w:rsidRPr="00806400" w:rsidR="004773D0" w:rsidP="434A86B8" w:rsidRDefault="004773D0" w14:paraId="1096F355" w14:textId="29B39B31" w14:noSpellErr="1">
      <w:pPr>
        <w:pStyle w:val="Lijstalinea"/>
        <w:numPr>
          <w:ilvl w:val="0"/>
          <w:numId w:val="8"/>
        </w:numPr>
        <w:rPr>
          <w:rFonts w:ascii="Aptos" w:hAnsi="Aptos" w:eastAsia="Aptos" w:cs="Aptos"/>
          <w:color w:val="000000" w:themeColor="text1" w:themeTint="FF" w:themeShade="FF"/>
          <w:lang w:eastAsia="nl-NL"/>
        </w:rPr>
      </w:pPr>
      <w:r w:rsidRPr="004773D0" w:rsidR="004773D0">
        <w:rPr>
          <w:rFonts w:ascii="Aptos" w:hAnsi="Aptos" w:eastAsia="Aptos" w:cs="Aptos"/>
          <w:color w:val="000000"/>
          <w:kern w:val="0"/>
          <w:u w:val="single"/>
          <w:lang w:eastAsia="nl-NL"/>
          <w14:ligatures w14:val="none"/>
        </w:rPr>
        <w:t>De optie om bepaalde projecten aan te merken als beheermaatregel</w:t>
      </w:r>
      <w:r w:rsidRPr="00B84801" w:rsidR="004773D0">
        <w:rPr>
          <w:rFonts w:ascii="Aptos" w:hAnsi="Aptos" w:eastAsia="Aptos" w:cs="Aptos"/>
          <w:color w:val="000000"/>
          <w:kern w:val="0"/>
          <w:lang w:eastAsia="nl-NL"/>
          <w14:ligatures w14:val="none"/>
        </w:rPr>
        <w:t xml:space="preserve"> voor N2000-gebieden of om de resterende activiteit mogelijk op te nemen in de gewenste eindsituatie van het gebied in het beheerplan.</w:t>
      </w:r>
    </w:p>
    <w:p w:rsidRPr="009950B8" w:rsidR="004773D0" w:rsidP="00C35BEA" w:rsidRDefault="00DF6A29" w14:paraId="5A8BA78E" w14:textId="00F7CA60" w14:noSpellErr="1">
      <w:pPr>
        <w:pStyle w:val="Lijstalinea"/>
        <w:numPr>
          <w:ilvl w:val="0"/>
          <w:numId w:val="2"/>
        </w:numPr>
        <w:rPr/>
      </w:pPr>
      <w:r w:rsidRPr="434A86B8" w:rsidR="00DF6A29">
        <w:rPr>
          <w:u w:val="single"/>
        </w:rPr>
        <w:t xml:space="preserve">Een pro-actiever gebruik van de ecologische beoordeling </w:t>
      </w:r>
      <w:r w:rsidRPr="434A86B8" w:rsidR="004773D0">
        <w:rPr>
          <w:u w:val="single"/>
        </w:rPr>
        <w:t xml:space="preserve">(zeker als het gaat om activiteiten met een kleine en tijdelijke stikstofbijdrage) </w:t>
      </w:r>
      <w:r w:rsidRPr="434A86B8" w:rsidR="00DF6A29">
        <w:rPr>
          <w:u w:val="single"/>
        </w:rPr>
        <w:t>en de ADC-procedure</w:t>
      </w:r>
      <w:r w:rsidR="00DF6A29">
        <w:rPr/>
        <w:t>.</w:t>
      </w:r>
    </w:p>
    <w:p w:rsidR="00DF6A29" w:rsidP="00DF6A29" w:rsidRDefault="00DF6A29" w14:paraId="54BC6D90" w14:textId="77777777" w14:noSpellErr="1">
      <w:pPr>
        <w:pStyle w:val="Lijstalinea"/>
        <w:ind w:left="360"/>
      </w:pPr>
    </w:p>
    <w:p w:rsidRPr="00032473" w:rsidR="0018453F" w:rsidP="00C35BEA" w:rsidRDefault="004773D0" w14:paraId="2A1303C2" w14:textId="65C91DFF" w14:noSpellErr="1">
      <w:pPr>
        <w:pStyle w:val="Lijstalinea"/>
        <w:numPr>
          <w:ilvl w:val="0"/>
          <w:numId w:val="1"/>
        </w:numPr>
        <w:rPr/>
      </w:pPr>
      <w:r w:rsidRPr="434A86B8" w:rsidR="004773D0">
        <w:rPr>
          <w:b w:val="1"/>
          <w:bCs w:val="1"/>
        </w:rPr>
        <w:t xml:space="preserve">Tot slot </w:t>
      </w:r>
      <w:r w:rsidRPr="434A86B8" w:rsidR="004773D0">
        <w:rPr>
          <w:b w:val="1"/>
          <w:bCs w:val="1"/>
        </w:rPr>
        <w:t>roepen</w:t>
      </w:r>
      <w:r w:rsidRPr="434A86B8" w:rsidR="004773D0">
        <w:rPr>
          <w:b w:val="1"/>
          <w:bCs w:val="1"/>
        </w:rPr>
        <w:t xml:space="preserve"> de provincies</w:t>
      </w:r>
      <w:r w:rsidRPr="434A86B8" w:rsidR="004773D0">
        <w:rPr>
          <w:b w:val="1"/>
          <w:bCs w:val="1"/>
        </w:rPr>
        <w:t xml:space="preserve"> de MCE&amp;N op om</w:t>
      </w:r>
      <w:r w:rsidRPr="434A86B8" w:rsidR="004773D0">
        <w:rPr>
          <w:b w:val="1"/>
          <w:bCs w:val="1"/>
        </w:rPr>
        <w:t xml:space="preserve"> binnen spoor 1 snel </w:t>
      </w:r>
      <w:r w:rsidRPr="434A86B8" w:rsidR="004773D0">
        <w:rPr>
          <w:b w:val="1"/>
          <w:bCs w:val="1"/>
        </w:rPr>
        <w:t xml:space="preserve">te </w:t>
      </w:r>
      <w:r w:rsidRPr="434A86B8" w:rsidR="004773D0">
        <w:rPr>
          <w:b w:val="1"/>
          <w:bCs w:val="1"/>
        </w:rPr>
        <w:t>start</w:t>
      </w:r>
      <w:r w:rsidRPr="434A86B8" w:rsidR="004773D0">
        <w:rPr>
          <w:b w:val="1"/>
          <w:bCs w:val="1"/>
        </w:rPr>
        <w:t>en</w:t>
      </w:r>
      <w:r w:rsidRPr="434A86B8" w:rsidR="004773D0">
        <w:rPr>
          <w:b w:val="1"/>
          <w:bCs w:val="1"/>
        </w:rPr>
        <w:t xml:space="preserve"> met een systeemwijziging</w:t>
      </w:r>
      <w:r w:rsidR="004773D0">
        <w:rPr/>
        <w:t xml:space="preserve"> voor de natuurvergunningverlening op middellange en langere termijn, gebaseerd op het milieuspoor. De provincies zien dat belang uit het oogpunt van draagvlak voor het beleid en een effectieve en efficiënte uitvoering van vergunningverlening, toezicht en handhaving door de provincies als bevoegd gezag. </w:t>
      </w:r>
      <w:r w:rsidR="00CA5288">
        <w:rPr/>
        <w:t>De provincies</w:t>
      </w:r>
      <w:r w:rsidR="004773D0">
        <w:rPr/>
        <w:t xml:space="preserve"> lichten hierna toe waarom en van welke systeemwijziging we het belang zien</w:t>
      </w:r>
      <w:r w:rsidR="00CA5288">
        <w:rPr/>
        <w:t>.</w:t>
      </w:r>
    </w:p>
    <w:p w:rsidRPr="00550CD5" w:rsidR="004773D0" w:rsidP="004773D0" w:rsidRDefault="004773D0" w14:paraId="47FA0774" w14:textId="0099DF2A" w14:noSpellErr="1">
      <w:pPr>
        <w:pStyle w:val="Lijstalinea"/>
        <w:ind w:left="360"/>
        <w:rPr>
          <w:u w:val="single"/>
        </w:rPr>
      </w:pPr>
      <w:r w:rsidRPr="434A86B8" w:rsidR="004773D0">
        <w:rPr>
          <w:u w:val="single"/>
        </w:rPr>
        <w:t xml:space="preserve">Waarom een systeemwijziging? </w:t>
      </w:r>
    </w:p>
    <w:p w:rsidR="004773D0" w:rsidP="00C35BEA" w:rsidRDefault="004773D0" w14:paraId="5DFCC135" w14:textId="77777777" w14:noSpellErr="1">
      <w:pPr>
        <w:pStyle w:val="Lijstalinea"/>
        <w:numPr>
          <w:ilvl w:val="0"/>
          <w:numId w:val="9"/>
        </w:numPr>
        <w:rPr/>
      </w:pPr>
      <w:r w:rsidR="004773D0">
        <w:rPr/>
        <w:t>Een belangrijke achterliggende oorzaak dat de vergunningverlening in ons land op slot zit komt door de combinatie in ons huidige natuurvergunningenstelsel van:</w:t>
      </w:r>
    </w:p>
    <w:p w:rsidRPr="0030648F" w:rsidR="004773D0" w:rsidP="00C35BEA" w:rsidRDefault="004773D0" w14:paraId="448D06D0" w14:textId="77777777" w14:noSpellErr="1">
      <w:pPr>
        <w:pStyle w:val="Lijstalinea"/>
        <w:numPr>
          <w:ilvl w:val="0"/>
          <w:numId w:val="3"/>
        </w:numPr>
        <w:rPr>
          <w:rFonts w:eastAsia="Calibri" w:cs="Times New Roman"/>
        </w:rPr>
      </w:pPr>
      <w:r w:rsidRPr="434A86B8" w:rsidR="004773D0">
        <w:rPr>
          <w:rFonts w:eastAsia="Calibri" w:cs="Times New Roman"/>
        </w:rPr>
        <w:t>depositiesturing</w:t>
      </w:r>
      <w:r w:rsidRPr="434A86B8" w:rsidR="004773D0">
        <w:rPr>
          <w:rFonts w:eastAsia="Calibri" w:cs="Times New Roman"/>
        </w:rPr>
        <w:t xml:space="preserve"> (bepaald is wat er aan stikstof op N2000 mag neerkomen);</w:t>
      </w:r>
    </w:p>
    <w:p w:rsidRPr="0030648F" w:rsidR="004773D0" w:rsidP="00C35BEA" w:rsidRDefault="004773D0" w14:paraId="714B3D5D" w14:textId="432BEF27" w14:noSpellErr="1">
      <w:pPr>
        <w:pStyle w:val="Lijstalinea"/>
        <w:numPr>
          <w:ilvl w:val="0"/>
          <w:numId w:val="3"/>
        </w:numPr>
        <w:rPr>
          <w:rFonts w:eastAsia="Calibri" w:cs="Times New Roman"/>
        </w:rPr>
      </w:pPr>
      <w:r w:rsidRPr="434A86B8" w:rsidR="004773D0">
        <w:rPr>
          <w:rFonts w:eastAsia="Calibri" w:cs="Times New Roman"/>
        </w:rPr>
        <w:t>overbelaste</w:t>
      </w:r>
      <w:r w:rsidRPr="434A86B8" w:rsidR="004773D0">
        <w:rPr>
          <w:rFonts w:eastAsia="Calibri" w:cs="Times New Roman"/>
        </w:rPr>
        <w:t xml:space="preserve"> natuur (wat er </w:t>
      </w:r>
      <w:r w:rsidRPr="434A86B8" w:rsidR="00CA5288">
        <w:rPr>
          <w:rFonts w:eastAsia="Calibri" w:cs="Times New Roman"/>
        </w:rPr>
        <w:t xml:space="preserve">aan stikstof </w:t>
      </w:r>
      <w:r w:rsidRPr="434A86B8" w:rsidR="004773D0">
        <w:rPr>
          <w:rFonts w:eastAsia="Calibri" w:cs="Times New Roman"/>
        </w:rPr>
        <w:t xml:space="preserve">op N2000 mag neerkomen is </w:t>
      </w:r>
      <w:r w:rsidRPr="434A86B8" w:rsidR="00CA5288">
        <w:rPr>
          <w:rFonts w:eastAsia="Calibri" w:cs="Times New Roman"/>
        </w:rPr>
        <w:t>vergeven)</w:t>
      </w:r>
      <w:r w:rsidRPr="434A86B8" w:rsidR="004773D0">
        <w:rPr>
          <w:rFonts w:eastAsia="Calibri" w:cs="Times New Roman"/>
        </w:rPr>
        <w:t xml:space="preserve">; </w:t>
      </w:r>
      <w:r w:rsidRPr="434A86B8" w:rsidR="00CA5288">
        <w:rPr>
          <w:rFonts w:eastAsia="Calibri" w:cs="Times New Roman"/>
        </w:rPr>
        <w:t>en</w:t>
      </w:r>
    </w:p>
    <w:p w:rsidRPr="00885CEA" w:rsidR="004773D0" w:rsidP="00C35BEA" w:rsidRDefault="004773D0" w14:paraId="6E7E16E3" w14:textId="07828250" w14:noSpellErr="1">
      <w:pPr>
        <w:pStyle w:val="Lijstalinea"/>
        <w:numPr>
          <w:ilvl w:val="0"/>
          <w:numId w:val="3"/>
        </w:numPr>
        <w:rPr>
          <w:rFonts w:eastAsia="Calibri" w:cs="Times New Roman"/>
        </w:rPr>
      </w:pPr>
      <w:r w:rsidRPr="00885CEA" w:rsidR="004773D0">
        <w:rPr>
          <w:rFonts w:eastAsia="Calibri" w:cs="Times New Roman"/>
        </w:rPr>
        <w:t>voor</w:t>
      </w:r>
      <w:r w:rsidRPr="00885CEA" w:rsidR="004773D0">
        <w:rPr>
          <w:rFonts w:eastAsia="Calibri" w:cs="Times New Roman"/>
        </w:rPr>
        <w:t xml:space="preserve"> onbepaalde tijd afgegeven natuurtoestemmingen zonder verplichting tot tussentijdse verschoning, waardoor de vergeven stikstofruimte vastzit bij bestaande vergun</w:t>
      </w:r>
      <w:r w:rsidRPr="00885CEA" w:rsidR="004773D0">
        <w:rPr>
          <w:rFonts w:eastAsia="Calibri" w:cs="Times New Roman"/>
        </w:rPr>
        <w:softHyphen/>
        <w:t>ning</w:t>
      </w:r>
      <w:r w:rsidRPr="00885CEA">
        <w:rPr>
          <w:rFonts w:eastAsia="Calibri" w:cs="Times New Roman"/>
        </w:rPr>
        <w:softHyphen/>
      </w:r>
      <w:r w:rsidRPr="00885CEA" w:rsidR="004773D0">
        <w:rPr>
          <w:rFonts w:eastAsia="Calibri" w:cs="Times New Roman"/>
        </w:rPr>
        <w:softHyphen/>
        <w:t>houders en er geen stikstofruimte beschikbaar is voor nieuwe maatschappelijke initia</w:t>
      </w:r>
      <w:r w:rsidRPr="00885CEA" w:rsidR="004773D0">
        <w:rPr>
          <w:rFonts w:eastAsia="Calibri" w:cs="Times New Roman"/>
        </w:rPr>
        <w:softHyphen/>
        <w:t xml:space="preserve">tieven – ook als er nauwelijks stikstof mee gepaard gaat – en het </w:t>
      </w:r>
      <w:r w:rsidRPr="0030648F" w:rsidR="004773D0">
        <w:rPr>
          <w:rFonts w:eastAsia="Calibri" w:cs="Times New Roman"/>
        </w:rPr>
        <w:t>l</w:t>
      </w:r>
      <w:r w:rsidRPr="00885CEA" w:rsidR="004773D0">
        <w:rPr>
          <w:rFonts w:eastAsia="Calibri" w:cs="Times New Roman"/>
        </w:rPr>
        <w:t>egaliseren van PAS-melders en meldingsvrije activiteiten.</w:t>
      </w:r>
    </w:p>
    <w:p w:rsidRPr="00885CEA" w:rsidR="004773D0" w:rsidP="00C35BEA" w:rsidRDefault="004773D0" w14:paraId="7640F746" w14:textId="77777777" w14:noSpellErr="1">
      <w:pPr>
        <w:pStyle w:val="Lijstalinea"/>
        <w:numPr>
          <w:ilvl w:val="0"/>
          <w:numId w:val="10"/>
        </w:numPr>
        <w:rPr/>
      </w:pPr>
      <w:r w:rsidR="004773D0">
        <w:rPr/>
        <w:t>Bijkomend probl</w:t>
      </w:r>
      <w:r w:rsidR="004773D0">
        <w:rPr/>
        <w:t>e</w:t>
      </w:r>
      <w:r w:rsidR="004773D0">
        <w:rPr/>
        <w:t xml:space="preserve">em </w:t>
      </w:r>
      <w:r w:rsidR="004773D0">
        <w:rPr/>
        <w:t>van h</w:t>
      </w:r>
      <w:r w:rsidR="004773D0">
        <w:rPr/>
        <w:t xml:space="preserve">et huidige stelsel </w:t>
      </w:r>
      <w:r w:rsidR="004773D0">
        <w:rPr/>
        <w:t>is</w:t>
      </w:r>
      <w:r w:rsidR="004773D0">
        <w:rPr/>
        <w:t xml:space="preserve"> bovendien</w:t>
      </w:r>
      <w:r w:rsidR="004773D0">
        <w:rPr/>
        <w:t xml:space="preserve"> dat </w:t>
      </w:r>
      <w:r w:rsidR="004773D0">
        <w:rPr/>
        <w:t>de depositiesturing de bestaande vergunninghouders verant</w:t>
      </w:r>
      <w:r w:rsidR="004773D0">
        <w:rPr/>
        <w:t>woor</w:t>
      </w:r>
      <w:r w:rsidR="004773D0">
        <w:rPr/>
        <w:t>delijk maakt voor depositie</w:t>
      </w:r>
      <w:r w:rsidR="004773D0">
        <w:rPr/>
        <w:t>verlaging en het halen van de nationale stikstofdoelen (</w:t>
      </w:r>
      <w:r w:rsidR="004773D0">
        <w:rPr/>
        <w:t>omgevingswaarde /</w:t>
      </w:r>
      <w:r w:rsidR="004773D0">
        <w:rPr/>
        <w:t xml:space="preserve"> KDW)</w:t>
      </w:r>
      <w:r w:rsidR="004773D0">
        <w:rPr/>
        <w:t xml:space="preserve">, terwijl </w:t>
      </w:r>
      <w:r w:rsidR="004773D0">
        <w:rPr/>
        <w:t>zij</w:t>
      </w:r>
      <w:r w:rsidR="004773D0">
        <w:rPr/>
        <w:t xml:space="preserve"> zelf niet op depositie kunnen sturen</w:t>
      </w:r>
      <w:r w:rsidR="004773D0">
        <w:rPr/>
        <w:t>. Daar komt bij dat de prikkel om betere technieken toe te passen voor emissiereductie ontbreekt, omdat vergunninghouders een vergunning voor onbepaalde tijd hebben (voor een activiteit met een bepaalde depositie). Betekenisvolle stikstofdaling is daarom nu vooral afhankelijk van kostbare (subsidiëring) en omstreden maatregelen (zoals opkoop of intrekking van vergunningen).</w:t>
      </w:r>
    </w:p>
    <w:p w:rsidRPr="00032473" w:rsidR="004773D0" w:rsidP="00C35BEA" w:rsidRDefault="004773D0" w14:paraId="08A0E4B4" w14:textId="4C178C98" w14:noSpellErr="1">
      <w:pPr>
        <w:pStyle w:val="Lijstalinea"/>
        <w:numPr>
          <w:ilvl w:val="0"/>
          <w:numId w:val="10"/>
        </w:numPr>
        <w:rPr/>
      </w:pPr>
      <w:bookmarkStart w:name="_Hlk147755138" w:id="0"/>
      <w:r w:rsidR="004773D0">
        <w:rPr/>
        <w:t xml:space="preserve">Bijkomend probleem voor </w:t>
      </w:r>
      <w:r w:rsidR="004773D0">
        <w:rPr/>
        <w:t>vergunningverleners en toezichthouders</w:t>
      </w:r>
      <w:r w:rsidR="004773D0">
        <w:rPr/>
        <w:t xml:space="preserve"> is dat zij nu</w:t>
      </w:r>
      <w:r w:rsidR="004773D0">
        <w:rPr/>
        <w:t xml:space="preserve"> vooral bezig zijn met micromanagement en non-problemen</w:t>
      </w:r>
      <w:r w:rsidR="004773D0">
        <w:rPr/>
        <w:t>,</w:t>
      </w:r>
      <w:r w:rsidR="004773D0">
        <w:rPr/>
        <w:t xml:space="preserve"> dat wil zeggen: </w:t>
      </w:r>
      <w:r w:rsidR="004773D0">
        <w:rPr/>
        <w:t xml:space="preserve">hun tijd gaat op aan </w:t>
      </w:r>
      <w:r w:rsidR="004773D0">
        <w:rPr/>
        <w:t>vergunningaanvragen met nauwe</w:t>
      </w:r>
      <w:r w:rsidR="004773D0">
        <w:rPr/>
        <w:t>lijks stikstof die desondanks niet gehonoreerd kunnen worden</w:t>
      </w:r>
      <w:r w:rsidR="004773D0">
        <w:rPr/>
        <w:t>. Zij werken</w:t>
      </w:r>
      <w:r w:rsidR="004773D0">
        <w:rPr/>
        <w:t xml:space="preserve"> in een sterk gejuri</w:t>
      </w:r>
      <w:r w:rsidR="004773D0">
        <w:rPr/>
        <w:t xml:space="preserve">dificeerde </w:t>
      </w:r>
      <w:r w:rsidR="004773D0">
        <w:rPr/>
        <w:t>en gepolariseerde</w:t>
      </w:r>
      <w:r w:rsidR="004773D0">
        <w:rPr/>
        <w:t xml:space="preserve"> omgeving, wat</w:t>
      </w:r>
      <w:r w:rsidR="004773D0">
        <w:rPr/>
        <w:t xml:space="preserve"> </w:t>
      </w:r>
      <w:r w:rsidR="004773D0">
        <w:rPr/>
        <w:t>leidt tot frustratie, demotivatie, personeelsverloop, uitval en vertrek</w:t>
      </w:r>
      <w:bookmarkEnd w:id="0"/>
      <w:r w:rsidR="004773D0">
        <w:rPr/>
        <w:t>.</w:t>
      </w:r>
    </w:p>
    <w:p w:rsidRPr="00916739" w:rsidR="004773D0" w:rsidP="004773D0" w:rsidRDefault="004773D0" w14:paraId="1F728BE2" w14:textId="77777777" w14:noSpellErr="1">
      <w:pPr>
        <w:pStyle w:val="Lijstalinea"/>
        <w:ind w:left="360"/>
        <w:rPr>
          <w:u w:val="single"/>
        </w:rPr>
      </w:pPr>
      <w:r w:rsidRPr="434A86B8" w:rsidR="004773D0">
        <w:rPr>
          <w:u w:val="single"/>
        </w:rPr>
        <w:t>Welke systeemwijziging?</w:t>
      </w:r>
    </w:p>
    <w:p w:rsidRPr="00AA6597" w:rsidR="004773D0" w:rsidP="00C35BEA" w:rsidRDefault="004773D0" w14:paraId="086D2350" w14:textId="585A0DA2">
      <w:pPr>
        <w:pStyle w:val="Lijstalinea"/>
        <w:numPr>
          <w:ilvl w:val="0"/>
          <w:numId w:val="11"/>
        </w:numPr>
        <w:rPr/>
      </w:pPr>
      <w:r w:rsidR="004773D0">
        <w:rPr/>
        <w:t>Binnen het milieuspoor kan prima vorm worden gegeven aan emissiesturing voor alle uitstoters van NH</w:t>
      </w:r>
      <w:r w:rsidRPr="434A86B8" w:rsidR="004773D0">
        <w:rPr>
          <w:vertAlign w:val="subscript"/>
        </w:rPr>
        <w:t>3</w:t>
      </w:r>
      <w:r w:rsidR="004773D0">
        <w:rPr/>
        <w:t xml:space="preserve"> en </w:t>
      </w:r>
      <w:r w:rsidR="004773D0">
        <w:rPr/>
        <w:t>NOx</w:t>
      </w:r>
      <w:r w:rsidR="004773D0">
        <w:rPr/>
        <w:t xml:space="preserve"> binnen alle sectoren, </w:t>
      </w:r>
      <w:r w:rsidR="00D7613F">
        <w:rPr/>
        <w:t>zodanig</w:t>
      </w:r>
      <w:r w:rsidR="004773D0">
        <w:rPr/>
        <w:t xml:space="preserve"> dat daarmee wordt voldaan aan de eisen van de Habitatrichtlijn. Doelsturing gericht op een verplicht en </w:t>
      </w:r>
      <w:r w:rsidR="004773D0">
        <w:rPr/>
        <w:t>afrekenbaar</w:t>
      </w:r>
      <w:r w:rsidR="004773D0">
        <w:rPr/>
        <w:t xml:space="preserve"> emissieplafond dat bedrijven op termijn moeten bereiken kan hierbij als instrument worden benut</w:t>
      </w:r>
      <w:r w:rsidR="00D7613F">
        <w:rPr/>
        <w:t>.</w:t>
      </w:r>
      <w:r w:rsidR="004773D0">
        <w:rPr/>
        <w:t xml:space="preserve"> </w:t>
      </w:r>
      <w:r w:rsidR="00D7613F">
        <w:rPr/>
        <w:t>Dan is</w:t>
      </w:r>
      <w:r w:rsidR="004773D0">
        <w:rPr/>
        <w:t xml:space="preserve"> de noodzakelijke reductie </w:t>
      </w:r>
      <w:r w:rsidR="00032473">
        <w:rPr/>
        <w:t xml:space="preserve">juridisch </w:t>
      </w:r>
      <w:r w:rsidR="004773D0">
        <w:rPr/>
        <w:t>geborgd</w:t>
      </w:r>
      <w:r w:rsidR="00D7613F">
        <w:rPr/>
        <w:t>, weten</w:t>
      </w:r>
      <w:r w:rsidR="004773D0">
        <w:rPr/>
        <w:t xml:space="preserve"> bedrijven waar ze aan toe zijn en </w:t>
      </w:r>
      <w:r w:rsidR="00D7613F">
        <w:rPr/>
        <w:t xml:space="preserve">kunnen ze </w:t>
      </w:r>
      <w:r w:rsidR="004773D0">
        <w:rPr/>
        <w:t>zelf bepalen hoe ze hun emissieplafond bereiken.</w:t>
      </w:r>
      <w:r w:rsidRPr="434A86B8" w:rsidR="004773D0">
        <w:rPr>
          <w:rFonts w:ascii="Calibri" w:hAnsi="Calibri" w:eastAsia="Calibri" w:cs="Times New Roman"/>
        </w:rPr>
        <w:t xml:space="preserve"> </w:t>
      </w:r>
      <w:r w:rsidR="004773D0">
        <w:rPr/>
        <w:t>Zo’n nieuw stelsel biedt v</w:t>
      </w:r>
      <w:r w:rsidR="00D7613F">
        <w:rPr/>
        <w:t>erder</w:t>
      </w:r>
      <w:r w:rsidR="004773D0">
        <w:rPr/>
        <w:t xml:space="preserve"> de mogelijkheid om </w:t>
      </w:r>
      <w:r w:rsidR="00D7613F">
        <w:rPr/>
        <w:t>de meeste</w:t>
      </w:r>
      <w:r w:rsidR="004773D0">
        <w:rPr/>
        <w:t xml:space="preserve"> bedrijven voortaan te reguleren </w:t>
      </w:r>
      <w:r w:rsidR="00D7613F">
        <w:rPr/>
        <w:t>met</w:t>
      </w:r>
      <w:r w:rsidR="004773D0">
        <w:rPr/>
        <w:t xml:space="preserve"> algemene regels (zoals het Besluit activiteiten leefomgeving, het Bal), en alleen nog</w:t>
      </w:r>
      <w:r w:rsidR="004773D0">
        <w:rPr/>
        <w:t xml:space="preserve"> te werken met (natuur)vergunningen</w:t>
      </w:r>
      <w:r w:rsidR="004773D0">
        <w:rPr/>
        <w:t xml:space="preserve"> voor de grootste uitstoters die er voor de natuur werkelijk toe doen. Dit maakt de </w:t>
      </w:r>
      <w:r w:rsidR="004773D0">
        <w:rPr/>
        <w:t>vergunningverlening</w:t>
      </w:r>
      <w:r w:rsidR="004773D0">
        <w:rPr/>
        <w:t xml:space="preserve"> effectiever en efficiënter en leidt naar verwachting bovendien tot een meer ontspannen uitvoeringspraktijk</w:t>
      </w:r>
      <w:r w:rsidR="004773D0">
        <w:rPr/>
        <w:t xml:space="preserve"> voor overheid en bedrijfsleven</w:t>
      </w:r>
      <w:r w:rsidR="004773D0">
        <w:rPr/>
        <w:t>.</w:t>
      </w:r>
      <w:r w:rsidR="004773D0">
        <w:rPr/>
        <w:t xml:space="preserve"> Toezicht en handhaving zullen een extra inspanning vereisen.</w:t>
      </w:r>
    </w:p>
    <w:p w:rsidRPr="00505DAB" w:rsidR="004773D0" w:rsidP="00C35BEA" w:rsidRDefault="004773D0" w14:paraId="5DF06F1B" w14:textId="77777777">
      <w:pPr>
        <w:pStyle w:val="Lijstalinea"/>
        <w:numPr>
          <w:ilvl w:val="0"/>
          <w:numId w:val="11"/>
        </w:numPr>
        <w:rPr/>
      </w:pPr>
      <w:r w:rsidR="004773D0">
        <w:rPr/>
        <w:t xml:space="preserve">Voor het uitwerken van de hiervoor bepleite systeemwijziging kan de Vlaamse stikstofaanpak goed model staan. Die aanpak gaat ook uit van een geborgde vorm van emissie- en doelsturing om de noodzakelijke natuurdoelen te (helpen) bereiken en te voldoen aan de Habitatrichtlijn, waarbij vergunningverlening weer mogelijk is geworden. Over de Vlaamse aanpak hebben de provincies een aparte </w:t>
      </w:r>
      <w:r w:rsidR="004773D0">
        <w:rPr/>
        <w:t>factsheet</w:t>
      </w:r>
      <w:r w:rsidR="004773D0">
        <w:rPr/>
        <w:t xml:space="preserve"> opgesteld.</w:t>
      </w:r>
    </w:p>
    <w:p w:rsidRPr="00B84801" w:rsidR="00806400" w:rsidP="00C35BEA" w:rsidRDefault="004773D0" w14:paraId="794B53FA" w14:textId="41BCF3DE">
      <w:pPr>
        <w:pStyle w:val="Lijstalinea"/>
        <w:numPr>
          <w:ilvl w:val="0"/>
          <w:numId w:val="11"/>
        </w:numPr>
        <w:rPr/>
      </w:pPr>
      <w:r w:rsidRPr="00D764CC" w:rsidR="004773D0">
        <w:rPr/>
        <w:t>De maatvoering van de nieuwe aanpak zien de provincies als een onderdeel van spoor 2 van de MCE&amp;N, dat wil zeggen het zodanig vormgeven van doelsturing en door bedrijven te realiseren emissieplafonds, dat – samen met eventuele andere reductiemaatregelen</w:t>
      </w:r>
      <w:r w:rsidR="004773D0">
        <w:rPr/>
        <w:t xml:space="preserve"> voor stikstof</w:t>
      </w:r>
      <w:r w:rsidRPr="00D764CC" w:rsidR="004773D0">
        <w:rPr/>
        <w:t xml:space="preserve"> binnen spoor 2 – </w:t>
      </w:r>
      <w:r w:rsidRPr="434A86B8" w:rsidR="000D3033">
        <w:rPr/>
        <w:t>geborgd is dat de stikstofemissie voldoende daalt om niet langer een knelpunt te vormen voor het halen van de natuurdoelen</w:t>
      </w:r>
      <w:r w:rsidRPr="00D764CC" w:rsidR="004773D0">
        <w:rPr/>
        <w:t>. De reductieopgave voor spoor 2 als geheel</w:t>
      </w:r>
      <w:r w:rsidR="004773D0">
        <w:rPr/>
        <w:t>,</w:t>
      </w:r>
      <w:r w:rsidRPr="00D764CC" w:rsidR="004773D0">
        <w:rPr/>
        <w:t xml:space="preserve"> volgt volgens de provincies uit de doorrekening door PBL, WUR en RIVM van wat vastgesteld en al concreet voorgenomen beleid oplevert. Met dat beleid neemt het areaal onder de KDW toe van 28% in 2021 naar 3</w:t>
      </w:r>
      <w:r w:rsidRPr="00321E34" w:rsidR="004773D0">
        <w:rPr/>
        <w:t xml:space="preserve">1% in 2030 </w:t>
      </w:r>
      <w:r w:rsidRPr="00321E34">
        <w:footnoteReference w:id="4"/>
      </w:r>
      <w:r w:rsidRPr="00321E34" w:rsidR="00CB2156">
        <w:rPr/>
        <w:t>. D</w:t>
      </w:r>
      <w:r w:rsidRPr="00321E34" w:rsidR="004773D0">
        <w:rPr/>
        <w:t>e gemiddelde overschrijding van de KDW neemt met dat beleid af van ongeveer 515 naar circa 340 mol/ha/</w:t>
      </w:r>
      <w:r w:rsidRPr="00321E34" w:rsidR="004773D0">
        <w:rPr/>
        <w:t>jr</w:t>
      </w:r>
      <w:r w:rsidRPr="00321E34" w:rsidR="004773D0">
        <w:rPr/>
        <w:t xml:space="preserve"> aan depositie.</w:t>
      </w:r>
      <w:r w:rsidRPr="00321E34" w:rsidR="00F865F5">
        <w:rPr/>
        <w:t xml:space="preserve"> </w:t>
      </w:r>
      <w:r w:rsidRPr="434A86B8" w:rsidR="003B3DA2">
        <w:rPr/>
        <w:t>Als in de berekening als uitgangspunt wordt genomen dat</w:t>
      </w:r>
      <w:r w:rsidRPr="434A86B8" w:rsidR="00F27223">
        <w:rPr/>
        <w:t xml:space="preserve"> 50% </w:t>
      </w:r>
      <w:r w:rsidRPr="434A86B8" w:rsidR="003B3DA2">
        <w:rPr/>
        <w:lastRenderedPageBreak/>
        <w:t xml:space="preserve">van het </w:t>
      </w:r>
      <w:r w:rsidRPr="434A86B8" w:rsidR="00F27223">
        <w:rPr/>
        <w:t xml:space="preserve">areaal </w:t>
      </w:r>
      <w:r w:rsidRPr="434A86B8" w:rsidR="003B3DA2">
        <w:rPr/>
        <w:t xml:space="preserve">in 2030 </w:t>
      </w:r>
      <w:r w:rsidRPr="434A86B8" w:rsidR="00F27223">
        <w:rPr/>
        <w:t>onder de KDW</w:t>
      </w:r>
      <w:r w:rsidRPr="434A86B8" w:rsidR="003B3DA2">
        <w:rPr/>
        <w:t xml:space="preserve"> moet komen, dan</w:t>
      </w:r>
      <w:r w:rsidRPr="434A86B8" w:rsidR="00F27223">
        <w:rPr/>
        <w:t xml:space="preserve"> </w:t>
      </w:r>
      <w:r w:rsidRPr="434A86B8" w:rsidR="003B3DA2">
        <w:rPr/>
        <w:t>leidt dit tot</w:t>
      </w:r>
      <w:r w:rsidRPr="434A86B8" w:rsidR="00F27223">
        <w:rPr/>
        <w:t xml:space="preserve"> 50% emissiereductie nationaal in 2030 t.o.v. 2019</w:t>
      </w:r>
      <w:r w:rsidRPr="434A86B8" w:rsidR="003B3DA2">
        <w:rPr/>
        <w:t>.</w:t>
      </w:r>
      <w:r w:rsidR="003B3DA2">
        <w:rPr/>
        <w:t xml:space="preserve"> </w:t>
      </w:r>
      <w:r>
        <w:br w:type="page"/>
      </w:r>
    </w:p>
    <w:p w:rsidRPr="00A966B6" w:rsidR="004B44EE" w:rsidP="004B44EE" w:rsidRDefault="00DE60E8" w14:paraId="443844F3" w14:textId="10378C0D" w14:noSpellErr="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Calibri"/>
          <w:b w:val="1"/>
          <w:bCs w:val="1"/>
          <w:color w:val="000000"/>
          <w:kern w:val="0"/>
          <w:sz w:val="24"/>
          <w:szCs w:val="24"/>
        </w:rPr>
      </w:pPr>
      <w:r w:rsidRPr="00A966B6" w:rsidR="00DE60E8">
        <w:rPr>
          <w:rFonts w:cs="Calibri"/>
          <w:b w:val="1"/>
          <w:bCs w:val="1"/>
          <w:color w:val="000000"/>
          <w:kern w:val="0"/>
          <w:sz w:val="24"/>
          <w:szCs w:val="24"/>
        </w:rPr>
        <w:lastRenderedPageBreak/>
        <w:t xml:space="preserve">Bijlage </w:t>
      </w:r>
      <w:r w:rsidRPr="00A966B6" w:rsidR="004B44EE">
        <w:rPr>
          <w:rFonts w:cs="Calibri"/>
          <w:b w:val="1"/>
          <w:bCs w:val="1"/>
          <w:color w:val="000000"/>
          <w:kern w:val="0"/>
          <w:sz w:val="24"/>
          <w:szCs w:val="24"/>
        </w:rPr>
        <w:t>1</w:t>
      </w:r>
      <w:r w:rsidRPr="00A966B6" w:rsidR="00DE60E8">
        <w:rPr>
          <w:rFonts w:cs="Calibri"/>
          <w:b w:val="1"/>
          <w:bCs w:val="1"/>
          <w:color w:val="000000"/>
          <w:kern w:val="0"/>
          <w:sz w:val="24"/>
          <w:szCs w:val="24"/>
        </w:rPr>
        <w:t xml:space="preserve"> – </w:t>
      </w:r>
      <w:r w:rsidR="00CA5288">
        <w:rPr>
          <w:rFonts w:cs="Calibri"/>
          <w:b w:val="1"/>
          <w:bCs w:val="1"/>
          <w:color w:val="000000"/>
          <w:kern w:val="0"/>
          <w:sz w:val="24"/>
          <w:szCs w:val="24"/>
        </w:rPr>
        <w:t>Vrijstellen k</w:t>
      </w:r>
      <w:r w:rsidRPr="00A966B6" w:rsidR="004B44EE">
        <w:rPr>
          <w:rFonts w:cs="Calibri"/>
          <w:b w:val="1"/>
          <w:bCs w:val="1"/>
          <w:color w:val="000000"/>
          <w:kern w:val="0"/>
          <w:sz w:val="24"/>
          <w:szCs w:val="24"/>
        </w:rPr>
        <w:t>ortdurende emissies</w:t>
      </w:r>
      <w:r w:rsidR="00CA5288">
        <w:rPr>
          <w:rFonts w:cs="Calibri"/>
          <w:b w:val="1"/>
          <w:bCs w:val="1"/>
          <w:color w:val="000000"/>
          <w:kern w:val="0"/>
          <w:sz w:val="24"/>
          <w:szCs w:val="24"/>
        </w:rPr>
        <w:t xml:space="preserve"> van vergunningplicht</w:t>
      </w:r>
    </w:p>
    <w:p w:rsidR="00DE60E8" w:rsidP="004B44EE" w:rsidRDefault="00DE60E8" w14:paraId="0A6AE0DA" w14:textId="77777777" w14:noSpellErr="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color w:val="000000"/>
          <w:kern w:val="0"/>
        </w:rPr>
      </w:pPr>
    </w:p>
    <w:p w:rsidRPr="00A966B6" w:rsidR="00DE60E8" w:rsidP="434A86B8" w:rsidRDefault="00DE60E8" w14:paraId="0A51AFA7" w14:textId="26DE98F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Calibri"/>
          <w:i w:val="1"/>
          <w:iCs w:val="1"/>
          <w:color w:val="000000"/>
          <w:kern w:val="0"/>
          <w:sz w:val="20"/>
          <w:szCs w:val="20"/>
        </w:rPr>
      </w:pPr>
      <w:r w:rsidRPr="434A86B8" w:rsidR="00DE60E8">
        <w:rPr>
          <w:rFonts w:cs="Calibri"/>
          <w:i w:val="1"/>
          <w:iCs w:val="1"/>
          <w:color w:val="000000"/>
          <w:kern w:val="0"/>
          <w:sz w:val="20"/>
          <w:szCs w:val="20"/>
        </w:rPr>
        <w:t xml:space="preserve">Deze bijlage is ontvangen van Hans </w:t>
      </w:r>
      <w:r w:rsidRPr="434A86B8" w:rsidR="00DE60E8">
        <w:rPr>
          <w:rFonts w:cs="Calibri"/>
          <w:i w:val="1"/>
          <w:iCs w:val="1"/>
          <w:color w:val="000000"/>
          <w:kern w:val="0"/>
          <w:sz w:val="20"/>
          <w:szCs w:val="20"/>
        </w:rPr>
        <w:t>Erbrink</w:t>
      </w:r>
      <w:r w:rsidRPr="434A86B8" w:rsidR="00DE60E8">
        <w:rPr>
          <w:rFonts w:cs="Calibri"/>
          <w:i w:val="1"/>
          <w:iCs w:val="1"/>
          <w:color w:val="000000"/>
          <w:kern w:val="0"/>
          <w:sz w:val="20"/>
          <w:szCs w:val="20"/>
        </w:rPr>
        <w:t xml:space="preserve"> die samen met Jan </w:t>
      </w:r>
      <w:r w:rsidRPr="434A86B8" w:rsidR="00DE60E8">
        <w:rPr>
          <w:rFonts w:cs="Calibri"/>
          <w:i w:val="1"/>
          <w:iCs w:val="1"/>
          <w:color w:val="000000"/>
          <w:kern w:val="0"/>
          <w:sz w:val="20"/>
          <w:szCs w:val="20"/>
        </w:rPr>
        <w:t>Duijzer</w:t>
      </w:r>
      <w:r w:rsidRPr="434A86B8" w:rsidR="00DE60E8">
        <w:rPr>
          <w:rFonts w:cs="Calibri"/>
          <w:i w:val="1"/>
          <w:iCs w:val="1"/>
          <w:color w:val="000000"/>
          <w:kern w:val="0"/>
          <w:sz w:val="20"/>
          <w:szCs w:val="20"/>
        </w:rPr>
        <w:t xml:space="preserve"> het </w:t>
      </w:r>
      <w:r w:rsidRPr="434A86B8" w:rsidR="00EE3DFA">
        <w:rPr>
          <w:rFonts w:cs="Calibri"/>
          <w:i w:val="1"/>
          <w:iCs w:val="1"/>
          <w:color w:val="000000"/>
          <w:kern w:val="0"/>
          <w:sz w:val="20"/>
          <w:szCs w:val="20"/>
        </w:rPr>
        <w:t xml:space="preserve">TNO-rapport schreef dat ten grondslag lag aan de onderbouwing van de maximale rekenafstand van 25 km. </w:t>
      </w:r>
      <w:r w:rsidRPr="434A86B8" w:rsidR="00EE3DFA">
        <w:rPr>
          <w:rFonts w:cs="Calibri"/>
          <w:i w:val="1"/>
          <w:iCs w:val="1"/>
          <w:color w:val="000000"/>
          <w:kern w:val="0"/>
          <w:sz w:val="20"/>
          <w:szCs w:val="20"/>
        </w:rPr>
        <w:t>Erbrink</w:t>
      </w:r>
      <w:r w:rsidRPr="434A86B8" w:rsidR="00EE3DFA">
        <w:rPr>
          <w:rFonts w:cs="Calibri"/>
          <w:i w:val="1"/>
          <w:iCs w:val="1"/>
          <w:color w:val="000000"/>
          <w:kern w:val="0"/>
          <w:sz w:val="20"/>
          <w:szCs w:val="20"/>
        </w:rPr>
        <w:t xml:space="preserve"> en </w:t>
      </w:r>
      <w:r w:rsidRPr="434A86B8" w:rsidR="00EE3DFA">
        <w:rPr>
          <w:rFonts w:cs="Calibri"/>
          <w:i w:val="1"/>
          <w:iCs w:val="1"/>
          <w:color w:val="000000"/>
          <w:kern w:val="0"/>
          <w:sz w:val="20"/>
          <w:szCs w:val="20"/>
        </w:rPr>
        <w:t>Duijzer</w:t>
      </w:r>
      <w:r w:rsidRPr="434A86B8" w:rsidR="00EE3DFA">
        <w:rPr>
          <w:rFonts w:cs="Calibri"/>
          <w:i w:val="1"/>
          <w:iCs w:val="1"/>
          <w:color w:val="000000"/>
          <w:kern w:val="0"/>
          <w:sz w:val="20"/>
          <w:szCs w:val="20"/>
        </w:rPr>
        <w:t xml:space="preserve"> waren ook betrokken bij de IPO-verkenning naar een rekenkundige ondergrens in 2024.</w:t>
      </w:r>
      <w:r w:rsidRPr="434A86B8" w:rsidR="00C02550">
        <w:rPr>
          <w:rFonts w:cs="Calibri"/>
          <w:i w:val="1"/>
          <w:iCs w:val="1"/>
          <w:color w:val="000000"/>
          <w:kern w:val="0"/>
          <w:sz w:val="20"/>
          <w:szCs w:val="20"/>
        </w:rPr>
        <w:t xml:space="preserve"> Een </w:t>
      </w:r>
      <w:r w:rsidRPr="434A86B8" w:rsidR="00A966B6">
        <w:rPr>
          <w:rFonts w:cs="Calibri"/>
          <w:i w:val="1"/>
          <w:iCs w:val="1"/>
          <w:color w:val="000000"/>
          <w:kern w:val="0"/>
          <w:sz w:val="20"/>
          <w:szCs w:val="20"/>
        </w:rPr>
        <w:t xml:space="preserve">vergelijkbare </w:t>
      </w:r>
      <w:r w:rsidRPr="434A86B8" w:rsidR="00C02550">
        <w:rPr>
          <w:rFonts w:cs="Calibri"/>
          <w:i w:val="1"/>
          <w:iCs w:val="1"/>
          <w:color w:val="000000"/>
          <w:kern w:val="0"/>
          <w:sz w:val="20"/>
          <w:szCs w:val="20"/>
        </w:rPr>
        <w:t>tekst</w:t>
      </w:r>
      <w:r w:rsidRPr="434A86B8" w:rsidR="00A966B6">
        <w:rPr>
          <w:rFonts w:cs="Calibri"/>
          <w:i w:val="1"/>
          <w:iCs w:val="1"/>
          <w:color w:val="000000"/>
          <w:kern w:val="0"/>
          <w:sz w:val="20"/>
          <w:szCs w:val="20"/>
        </w:rPr>
        <w:t xml:space="preserve"> </w:t>
      </w:r>
      <w:r w:rsidRPr="434A86B8" w:rsidR="00C02550">
        <w:rPr>
          <w:rFonts w:cs="Calibri"/>
          <w:i w:val="1"/>
          <w:iCs w:val="1"/>
          <w:color w:val="000000"/>
          <w:kern w:val="0"/>
          <w:sz w:val="20"/>
          <w:szCs w:val="20"/>
        </w:rPr>
        <w:t xml:space="preserve">is </w:t>
      </w:r>
      <w:r w:rsidRPr="434A86B8" w:rsidR="00A966B6">
        <w:rPr>
          <w:rFonts w:cs="Calibri"/>
          <w:i w:val="1"/>
          <w:iCs w:val="1"/>
          <w:color w:val="000000"/>
          <w:kern w:val="0"/>
          <w:sz w:val="20"/>
          <w:szCs w:val="20"/>
        </w:rPr>
        <w:t>onderdeel van</w:t>
      </w:r>
      <w:r w:rsidRPr="434A86B8" w:rsidR="00C02550">
        <w:rPr>
          <w:rFonts w:cs="Calibri"/>
          <w:i w:val="1"/>
          <w:iCs w:val="1"/>
          <w:color w:val="000000"/>
          <w:kern w:val="0"/>
          <w:sz w:val="20"/>
          <w:szCs w:val="20"/>
        </w:rPr>
        <w:t xml:space="preserve"> een artikel van </w:t>
      </w:r>
      <w:r w:rsidRPr="434A86B8" w:rsidR="00C02550">
        <w:rPr>
          <w:rFonts w:cs="Calibri"/>
          <w:i w:val="1"/>
          <w:iCs w:val="1"/>
          <w:color w:val="000000"/>
          <w:kern w:val="0"/>
          <w:sz w:val="20"/>
          <w:szCs w:val="20"/>
        </w:rPr>
        <w:t>Erbrink</w:t>
      </w:r>
      <w:r w:rsidRPr="434A86B8" w:rsidR="00C02550">
        <w:rPr>
          <w:rFonts w:cs="Calibri"/>
          <w:i w:val="1"/>
          <w:iCs w:val="1"/>
          <w:color w:val="000000"/>
          <w:kern w:val="0"/>
          <w:sz w:val="20"/>
          <w:szCs w:val="20"/>
        </w:rPr>
        <w:t xml:space="preserve"> en </w:t>
      </w:r>
      <w:r w:rsidRPr="434A86B8" w:rsidR="00C02550">
        <w:rPr>
          <w:rFonts w:cs="Calibri"/>
          <w:i w:val="1"/>
          <w:iCs w:val="1"/>
          <w:color w:val="000000"/>
          <w:kern w:val="0"/>
          <w:sz w:val="20"/>
          <w:szCs w:val="20"/>
        </w:rPr>
        <w:t>Duijzer</w:t>
      </w:r>
      <w:r w:rsidRPr="434A86B8" w:rsidR="00CE2DDE">
        <w:rPr>
          <w:rFonts w:cs="Calibri"/>
          <w:i w:val="1"/>
          <w:iCs w:val="1"/>
          <w:color w:val="000000"/>
          <w:kern w:val="0"/>
          <w:sz w:val="20"/>
          <w:szCs w:val="20"/>
        </w:rPr>
        <w:t xml:space="preserve"> dat binnenkort verschijnt</w:t>
      </w:r>
      <w:r w:rsidRPr="434A86B8" w:rsidR="00C02550">
        <w:rPr>
          <w:rFonts w:cs="Calibri"/>
          <w:i w:val="1"/>
          <w:iCs w:val="1"/>
          <w:color w:val="000000"/>
          <w:kern w:val="0"/>
          <w:sz w:val="20"/>
          <w:szCs w:val="20"/>
        </w:rPr>
        <w:t xml:space="preserve"> in het </w:t>
      </w:r>
      <w:r w:rsidRPr="434A86B8" w:rsidR="00254439">
        <w:rPr>
          <w:rFonts w:cs="Calibri"/>
          <w:i w:val="1"/>
          <w:iCs w:val="1"/>
          <w:color w:val="000000"/>
          <w:kern w:val="0"/>
          <w:sz w:val="20"/>
          <w:szCs w:val="20"/>
        </w:rPr>
        <w:t>vakblad Lucht.</w:t>
      </w:r>
    </w:p>
    <w:p w:rsidRPr="00A966B6" w:rsidR="00DE60E8" w:rsidP="004B44EE" w:rsidRDefault="00DE60E8" w14:paraId="69CEB5F3" w14:textId="77777777" w14:noSpellErr="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Calibri"/>
          <w:color w:val="000000"/>
          <w:kern w:val="0"/>
        </w:rPr>
      </w:pPr>
    </w:p>
    <w:p w:rsidRPr="00A966B6" w:rsidR="004B44EE" w:rsidP="004B44EE" w:rsidRDefault="004B44EE" w14:paraId="2E679411" w14:textId="4140B0E2" w14:noSpellErr="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Calibri"/>
          <w:color w:val="000000"/>
          <w:kern w:val="0"/>
        </w:rPr>
      </w:pPr>
      <w:r w:rsidRPr="00A966B6" w:rsidR="004B44EE">
        <w:rPr>
          <w:rFonts w:cs="Calibri"/>
          <w:color w:val="000000"/>
          <w:kern w:val="0"/>
        </w:rPr>
        <w:t>Voor projecten waarbij sprake is van tijdelijke emissies is het van belang een goede schatting te maken van de onzekerheid die geldt voor een depositieberekening. Als korte periode geldt hier een periode die belangrijk korter is dan een jaar. Bij een emissie van een dag is het namelijk niet te voorspellen naar welk natuurgebied de pluim zal waaien, ook bij een emissie van een week is zeker niet goed te voorspellen waar de emissie terecht komt. De vraag is dan hoe lang een emissieperiode moet zijn om nog met voldoende zekerheid de berekende depositie te kunnen herleiden tot de bron.</w:t>
      </w:r>
    </w:p>
    <w:p w:rsidR="00A966B6" w:rsidP="004B44EE" w:rsidRDefault="00A966B6" w14:paraId="3ABE454F" w14:textId="77777777" w14:noSpellErr="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Calibri"/>
          <w:color w:val="000000"/>
          <w:kern w:val="0"/>
        </w:rPr>
      </w:pPr>
    </w:p>
    <w:p w:rsidR="0015367D" w:rsidP="004B44EE" w:rsidRDefault="004B44EE" w14:paraId="06275847" w14:textId="52FB8F9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Calibri"/>
          <w:color w:val="000000"/>
          <w:kern w:val="0"/>
        </w:rPr>
      </w:pPr>
      <w:r w:rsidRPr="00A966B6" w:rsidR="004B44EE">
        <w:rPr>
          <w:rFonts w:cs="Calibri"/>
          <w:color w:val="000000"/>
          <w:kern w:val="0"/>
        </w:rPr>
        <w:t>Internationaal is een factor 2 nauwkeurigheid gangbaar om te bepalen of een model-uitkomst nog aanvaardbaar is. De factor 2 is ook de grondslag geweest bij de 25 km afstandsbegrenzing. De vraag is dan bij welke emissieduur de onnauwkeurigheid kleiner dan een factor 2 wordt. Om daar inzicht in te krijgen is voor een lage bron (5m hoog) met continue emissies ergens in het midden van Nederland met het verspreidingsmodel STACKS berekend wat de maandgemiddelde concentraties zijn ten noorden, westen, zuiden en oosten van deze bron (op 5 km afstand), over een periode van 10 jaar (2005-2014).</w:t>
      </w:r>
      <w:r w:rsidR="00551833">
        <w:rPr>
          <w:rFonts w:cs="Calibri"/>
          <w:color w:val="000000"/>
          <w:kern w:val="0"/>
        </w:rPr>
        <w:t xml:space="preserve"> </w:t>
      </w:r>
      <w:r w:rsidRPr="00A966B6" w:rsidR="004B44EE">
        <w:rPr>
          <w:rFonts w:cs="Calibri"/>
          <w:color w:val="000000"/>
          <w:kern w:val="0"/>
        </w:rPr>
        <w:t xml:space="preserve">De 120 maandgemiddelde concentraties zijn per receptorpunt (noord, west, zuid, oost) gesorteerd van laag naar hoog. Door de laagste 3 en de hoogste 3 te verwijderen, houd je 95% van de waarden over: dit is het 95% interval. Een factor 2 nauwkeurigheid komt in de statistiek ook overeen met (de helft van) het 95% interval van alle uitkomstwaarden. Wanneer je de hoogste en de laagste waarden uit deze 95% waarden op elkaar deelt, wordt het </w:t>
      </w:r>
      <w:r w:rsidRPr="00A966B6" w:rsidR="004B44EE">
        <w:rPr>
          <w:rFonts w:cs="Calibri"/>
          <w:color w:val="000000"/>
          <w:kern w:val="0"/>
        </w:rPr>
        <w:t>betrouwbaarheidsintervaI</w:t>
      </w:r>
      <w:r w:rsidRPr="00A966B6" w:rsidR="004B44EE">
        <w:rPr>
          <w:rFonts w:cs="Calibri"/>
          <w:color w:val="000000"/>
          <w:kern w:val="0"/>
        </w:rPr>
        <w:t xml:space="preserve"> (BI) verkregen. Neem de helft ervan (de onnauwkeurigheid geldt immers voor beide kanten van de gemiddelde waarde) dan is dat de onnauwkeurigheidsfactor.</w:t>
      </w:r>
      <w:r w:rsidRPr="00A966B6" w:rsidR="0015367D">
        <w:rPr>
          <w:rFonts w:cs="Calibri"/>
          <w:color w:val="000000"/>
          <w:kern w:val="0"/>
        </w:rPr>
        <w:t xml:space="preserve"> </w:t>
      </w:r>
      <w:r w:rsidRPr="00A966B6" w:rsidR="004B44EE">
        <w:rPr>
          <w:rFonts w:cs="Calibri"/>
          <w:color w:val="000000"/>
          <w:kern w:val="0"/>
        </w:rPr>
        <w:t>Dit is gedaan voor de maandgemiddelden, maar ook voor 2- respectievelijk 3-, 4-, 5- en 6-maandgemiddelde concentraties op de 4 receptorpunten (glijdend</w:t>
      </w:r>
      <w:r w:rsidRPr="00A966B6" w:rsidR="00581603">
        <w:rPr>
          <w:rFonts w:cs="Calibri"/>
          <w:color w:val="000000"/>
          <w:kern w:val="0"/>
        </w:rPr>
        <w:t xml:space="preserve"> </w:t>
      </w:r>
      <w:r w:rsidRPr="00A966B6" w:rsidR="004B44EE">
        <w:rPr>
          <w:rFonts w:cs="Calibri"/>
          <w:color w:val="000000"/>
          <w:kern w:val="0"/>
        </w:rPr>
        <w:t xml:space="preserve">gemiddeld of </w:t>
      </w:r>
      <w:r w:rsidRPr="00A966B6" w:rsidR="004B44EE">
        <w:rPr>
          <w:rFonts w:cs="Calibri"/>
          <w:color w:val="000000"/>
          <w:kern w:val="0"/>
        </w:rPr>
        <w:t>bloksgewijs</w:t>
      </w:r>
      <w:r w:rsidRPr="00A966B6" w:rsidR="004B44EE">
        <w:rPr>
          <w:rFonts w:cs="Calibri"/>
          <w:color w:val="000000"/>
          <w:kern w:val="0"/>
        </w:rPr>
        <w:t xml:space="preserve"> gemiddeld, beide methoden geven vergelijkbare resultaten).</w:t>
      </w:r>
    </w:p>
    <w:p w:rsidR="00551833" w:rsidP="004B44EE" w:rsidRDefault="00551833" w14:paraId="2F46F5AD" w14:textId="77777777" w14:noSpellErr="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Calibri"/>
          <w:color w:val="000000"/>
          <w:kern w:val="0"/>
        </w:rPr>
      </w:pPr>
    </w:p>
    <w:p w:rsidRPr="00551833" w:rsidR="00551833" w:rsidP="00551833" w:rsidRDefault="00551833" w14:paraId="38185E7C" w14:textId="77777777" w14:noSpellErr="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Calibri"/>
          <w:color w:val="000000"/>
          <w:kern w:val="0"/>
        </w:rPr>
      </w:pPr>
      <w:r w:rsidRPr="00551833" w:rsidR="00551833">
        <w:rPr>
          <w:rFonts w:cs="Calibri"/>
          <w:color w:val="000000"/>
          <w:kern w:val="0"/>
        </w:rPr>
        <w:t xml:space="preserve">Wanneer deze waarden geplot worden (zie figuur) dan blijkt dat de correlatielijn vanaf 4-maand gemiddelden een onzekerheidsfactor heeft van 2 of minder. </w:t>
      </w:r>
      <w:r w:rsidRPr="00B75699" w:rsidR="00551833">
        <w:rPr>
          <w:rFonts w:cs="Calibri"/>
          <w:b w:val="1"/>
          <w:bCs w:val="1"/>
          <w:color w:val="000000"/>
          <w:kern w:val="0"/>
        </w:rPr>
        <w:t>Dat betekent dat deposities die het gevolg zijn van emissies die korter duren dan 4 maanden, niet met voldoende zekerheid aan een bron kunnen worden toegewezen.</w:t>
      </w:r>
    </w:p>
    <w:p w:rsidR="0015367D" w:rsidP="00B75699" w:rsidRDefault="0015367D" w14:paraId="7115EA38" w14:textId="77777777" w14:noSpellErr="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Helvetica" w:hAnsi="Helvetica" w:cs="Helvetica"/>
          <w:color w:val="000000"/>
          <w:kern w:val="0"/>
        </w:rPr>
      </w:pPr>
    </w:p>
    <w:p w:rsidR="0015367D" w:rsidP="00B75699" w:rsidRDefault="0015367D" w14:paraId="2CD29950" w14:textId="0865326B" w14:noSpellErr="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Helvetica" w:hAnsi="Helvetica" w:cs="Helvetica"/>
          <w:color w:val="000000"/>
          <w:kern w:val="0"/>
        </w:rPr>
      </w:pPr>
      <w:r w:rsidR="0015367D">
        <w:drawing>
          <wp:inline wp14:editId="28896397" wp14:anchorId="2D4BF15D">
            <wp:extent cx="3654000" cy="2419200"/>
            <wp:effectExtent l="0" t="0" r="3810" b="635"/>
            <wp:docPr id="1250802457" name="Afbeelding 1" descr="Afbeelding met lijn, Perceel, diagram, nummer&#10;&#10;Door AI gegenereerde inhoud is mogelijk onjuist."/>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1250802457" name="Afbeelding 1" descr="Afbeelding met lijn, Perceel, diagram, nummer&#10;&#10;Door AI gegenereerde inhoud is mogelijk onjuist."/>
                    <pic:cNvPicPr/>
                  </pic:nvPicPr>
                  <pic:blipFill>
                    <a:blip xmlns:r="http://schemas.openxmlformats.org/officeDocument/2006/relationships" r:embed="rId11"/>
                    <a:stretch>
                      <a:fillRect/>
                    </a:stretch>
                  </pic:blipFill>
                  <pic:spPr>
                    <a:xfrm>
                      <a:off x="0" y="0"/>
                      <a:ext cx="3654000" cy="2419200"/>
                    </a:xfrm>
                    <a:prstGeom prst="rect">
                      <a:avLst/>
                    </a:prstGeom>
                  </pic:spPr>
                </pic:pic>
              </a:graphicData>
            </a:graphic>
          </wp:inline>
        </w:drawing>
      </w:r>
    </w:p>
    <w:p w:rsidR="0015367D" w:rsidP="004B44EE" w:rsidRDefault="0015367D" w14:paraId="76D8081F" w14:textId="77777777" w14:noSpellErr="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color w:val="000000"/>
          <w:kern w:val="0"/>
        </w:rPr>
      </w:pPr>
    </w:p>
    <w:p w:rsidRPr="00551833" w:rsidR="00DE60E8" w:rsidP="004B44EE" w:rsidRDefault="00DE60E8" w14:paraId="4D73B13F" w14:textId="77777777" w14:noSpellErr="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Calibri"/>
          <w:color w:val="000000"/>
          <w:kern w:val="0"/>
        </w:rPr>
      </w:pPr>
    </w:p>
    <w:p w:rsidRPr="00551833" w:rsidR="00877F95" w:rsidP="00DE60E8" w:rsidRDefault="004B44EE" w14:paraId="44BC5C08" w14:textId="221F67C1" w14:noSpellErr="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Calibri"/>
          <w:color w:val="000000"/>
          <w:kern w:val="0"/>
        </w:rPr>
      </w:pPr>
      <w:r w:rsidRPr="00551833" w:rsidR="004B44EE">
        <w:rPr>
          <w:rFonts w:cs="Calibri"/>
          <w:color w:val="000000"/>
          <w:kern w:val="0"/>
        </w:rPr>
        <w:t>Kortdurende emissies zullen in praktijk vooral overdag plaatsvinden. Het betreft vaak emissies van</w:t>
      </w:r>
      <w:r w:rsidRPr="00551833" w:rsidR="00DE60E8">
        <w:rPr>
          <w:rFonts w:cs="Calibri"/>
          <w:color w:val="000000"/>
          <w:kern w:val="0"/>
        </w:rPr>
        <w:t xml:space="preserve"> </w:t>
      </w:r>
      <w:r w:rsidRPr="00551833" w:rsidR="004B44EE">
        <w:rPr>
          <w:rFonts w:cs="Calibri"/>
          <w:color w:val="000000"/>
          <w:kern w:val="0"/>
        </w:rPr>
        <w:t>projecten waar graafmachines, shovels, hijswerktuigen en dergelijke worden ingezet. Deze worden</w:t>
      </w:r>
      <w:r w:rsidRPr="00551833" w:rsidR="00DE60E8">
        <w:rPr>
          <w:rFonts w:cs="Calibri"/>
          <w:color w:val="000000"/>
          <w:kern w:val="0"/>
        </w:rPr>
        <w:t xml:space="preserve"> </w:t>
      </w:r>
      <w:r w:rsidRPr="00551833" w:rsidR="004B44EE">
        <w:rPr>
          <w:rFonts w:cs="Calibri"/>
          <w:color w:val="000000"/>
          <w:kern w:val="0"/>
        </w:rPr>
        <w:t>voornamelijk overdag ingezet gedurende enkele tot maximaal 8 uur per dag. De onzekerheid zal in</w:t>
      </w:r>
      <w:r w:rsidRPr="00551833" w:rsidR="00DE60E8">
        <w:rPr>
          <w:rFonts w:cs="Calibri"/>
          <w:color w:val="000000"/>
          <w:kern w:val="0"/>
        </w:rPr>
        <w:t xml:space="preserve"> </w:t>
      </w:r>
      <w:r w:rsidRPr="00551833" w:rsidR="004B44EE">
        <w:rPr>
          <w:rFonts w:cs="Calibri"/>
          <w:color w:val="000000"/>
          <w:kern w:val="0"/>
        </w:rPr>
        <w:t>praktijk dus wellicht nog wat groter zijn dan in de figuur aangegeven.</w:t>
      </w:r>
      <w:r w:rsidRPr="00551833" w:rsidR="00DE60E8">
        <w:rPr>
          <w:rFonts w:cs="Calibri"/>
          <w:color w:val="000000"/>
          <w:kern w:val="0"/>
        </w:rPr>
        <w:t xml:space="preserve"> </w:t>
      </w:r>
      <w:r w:rsidRPr="00551833" w:rsidR="004B44EE">
        <w:rPr>
          <w:rFonts w:cs="Calibri"/>
          <w:color w:val="000000"/>
          <w:kern w:val="0"/>
        </w:rPr>
        <w:t>Voor hogere bronnen dan waar hier mee gerekend is, zal de onzekerheid groter zijn; het is wellicht</w:t>
      </w:r>
      <w:r w:rsidRPr="00551833" w:rsidR="00DE60E8">
        <w:rPr>
          <w:rFonts w:cs="Calibri"/>
          <w:color w:val="000000"/>
          <w:kern w:val="0"/>
        </w:rPr>
        <w:t xml:space="preserve"> </w:t>
      </w:r>
      <w:r w:rsidRPr="00551833" w:rsidR="004B44EE">
        <w:rPr>
          <w:rFonts w:cs="Calibri"/>
          <w:color w:val="000000"/>
          <w:kern w:val="0"/>
        </w:rPr>
        <w:t>lastig om hier een voorschrift voor op te stellen, daarom is het uitgangspunt hier dat de volgende</w:t>
      </w:r>
      <w:r w:rsidRPr="00551833" w:rsidR="00DE60E8">
        <w:rPr>
          <w:rFonts w:cs="Calibri"/>
          <w:color w:val="000000"/>
          <w:kern w:val="0"/>
        </w:rPr>
        <w:t xml:space="preserve"> </w:t>
      </w:r>
      <w:r w:rsidRPr="00551833" w:rsidR="004B44EE">
        <w:rPr>
          <w:rFonts w:cs="Calibri"/>
          <w:color w:val="000000"/>
          <w:kern w:val="0"/>
        </w:rPr>
        <w:t xml:space="preserve">conclusie voor alle brontypen (mobiele en stationaire bronnen) geldt: </w:t>
      </w:r>
      <w:r w:rsidRPr="00551833" w:rsidR="0015367D">
        <w:rPr>
          <w:rFonts w:cs="Calibri"/>
          <w:b w:val="1"/>
          <w:bCs w:val="1"/>
          <w:color w:val="000000"/>
          <w:kern w:val="0"/>
        </w:rPr>
        <w:t>d</w:t>
      </w:r>
      <w:r w:rsidRPr="00551833" w:rsidR="004B44EE">
        <w:rPr>
          <w:rFonts w:cs="Calibri"/>
          <w:b w:val="1"/>
          <w:bCs w:val="1"/>
          <w:color w:val="000000"/>
          <w:kern w:val="0"/>
        </w:rPr>
        <w:t>eposities ten gevolge van</w:t>
      </w:r>
      <w:r w:rsidRPr="00551833" w:rsidR="00DE60E8">
        <w:rPr>
          <w:rFonts w:cs="Calibri"/>
          <w:b w:val="1"/>
          <w:bCs w:val="1"/>
          <w:color w:val="000000"/>
          <w:kern w:val="0"/>
        </w:rPr>
        <w:t xml:space="preserve"> </w:t>
      </w:r>
      <w:r w:rsidRPr="00551833" w:rsidR="004B44EE">
        <w:rPr>
          <w:rFonts w:cs="Calibri"/>
          <w:b w:val="1"/>
          <w:bCs w:val="1"/>
          <w:color w:val="000000"/>
          <w:kern w:val="0"/>
        </w:rPr>
        <w:t>emissies die plaatsvinden binnen een tijdsbestek van 4 maanden kunnen niet met voldoende</w:t>
      </w:r>
      <w:r w:rsidRPr="00551833" w:rsidR="00DE60E8">
        <w:rPr>
          <w:rFonts w:cs="Calibri"/>
          <w:b w:val="1"/>
          <w:bCs w:val="1"/>
          <w:color w:val="000000"/>
          <w:kern w:val="0"/>
        </w:rPr>
        <w:t xml:space="preserve"> </w:t>
      </w:r>
      <w:r w:rsidRPr="00551833" w:rsidR="004B44EE">
        <w:rPr>
          <w:rFonts w:cs="Calibri"/>
          <w:b w:val="1"/>
          <w:bCs w:val="1"/>
          <w:color w:val="000000"/>
          <w:kern w:val="0"/>
        </w:rPr>
        <w:t>zekerheid naar de bron worden herleid.</w:t>
      </w:r>
    </w:p>
    <w:sectPr w:rsidRPr="00551833" w:rsidR="00877F95">
      <w:footerReference w:type="default" r:id="rId12"/>
      <w:pgSz w:w="11906" w:h="16838" w:orient="portrait"/>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E6891" w:rsidP="00877F95" w:rsidRDefault="000E6891" w14:paraId="4072720F" w14:textId="77777777">
      <w:pPr>
        <w:spacing w:after="0" w:line="240" w:lineRule="auto"/>
      </w:pPr>
      <w:r>
        <w:separator/>
      </w:r>
    </w:p>
  </w:endnote>
  <w:endnote w:type="continuationSeparator" w:id="0">
    <w:p w:rsidR="000E6891" w:rsidP="00877F95" w:rsidRDefault="000E6891" w14:paraId="5371FE00" w14:textId="77777777">
      <w:pPr>
        <w:spacing w:after="0" w:line="240" w:lineRule="auto"/>
      </w:pPr>
      <w:r>
        <w:continuationSeparator/>
      </w:r>
    </w:p>
  </w:endnote>
  <w:endnote w:type="continuationNotice" w:id="1">
    <w:p w:rsidR="000E6891" w:rsidRDefault="000E6891" w14:paraId="0A1969F2"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92114922"/>
      <w:docPartObj>
        <w:docPartGallery w:val="Page Numbers (Bottom of Page)"/>
        <w:docPartUnique/>
      </w:docPartObj>
    </w:sdtPr>
    <w:sdtContent>
      <w:p w:rsidR="001D5C13" w:rsidRDefault="001D5C13" w14:paraId="284F4D37" w14:textId="501ACE8C">
        <w:pPr>
          <w:pStyle w:val="Voettekst"/>
          <w:jc w:val="center"/>
        </w:pPr>
        <w:r>
          <w:fldChar w:fldCharType="begin"/>
        </w:r>
        <w:r>
          <w:instrText>PAGE   \* MERGEFORMAT</w:instrText>
        </w:r>
        <w:r>
          <w:fldChar w:fldCharType="separate"/>
        </w:r>
        <w:r>
          <w:t>2</w:t>
        </w:r>
        <w:r>
          <w:fldChar w:fldCharType="end"/>
        </w:r>
      </w:p>
    </w:sdtContent>
  </w:sdt>
  <w:p w:rsidR="001D5C13" w:rsidRDefault="001D5C13" w14:paraId="187C0AFD" w14:textId="7777777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E6891" w:rsidP="00877F95" w:rsidRDefault="000E6891" w14:paraId="4DE19EF1" w14:textId="77777777">
      <w:pPr>
        <w:spacing w:after="0" w:line="240" w:lineRule="auto"/>
      </w:pPr>
      <w:r>
        <w:separator/>
      </w:r>
    </w:p>
  </w:footnote>
  <w:footnote w:type="continuationSeparator" w:id="0">
    <w:p w:rsidR="000E6891" w:rsidP="00877F95" w:rsidRDefault="000E6891" w14:paraId="58B6E9E1" w14:textId="77777777">
      <w:pPr>
        <w:spacing w:after="0" w:line="240" w:lineRule="auto"/>
      </w:pPr>
      <w:r>
        <w:continuationSeparator/>
      </w:r>
    </w:p>
  </w:footnote>
  <w:footnote w:type="continuationNotice" w:id="1">
    <w:p w:rsidR="000E6891" w:rsidRDefault="000E6891" w14:paraId="711270F2" w14:textId="77777777">
      <w:pPr>
        <w:spacing w:after="0" w:line="240" w:lineRule="auto"/>
      </w:pPr>
    </w:p>
  </w:footnote>
  <w:footnote w:id="2">
    <w:p w:rsidR="00CA5288" w:rsidRDefault="00CA5288" w14:paraId="072654AE" w14:textId="06FF747D">
      <w:pPr>
        <w:pStyle w:val="Voetnoottekst"/>
      </w:pPr>
      <w:r>
        <w:rPr>
          <w:rStyle w:val="Voetnootmarkering"/>
        </w:rPr>
        <w:footnoteRef/>
      </w:r>
      <w:r>
        <w:t xml:space="preserve"> </w:t>
      </w:r>
      <w:r>
        <w:tab/>
      </w:r>
      <w:r w:rsidRPr="0018453F">
        <w:rPr>
          <w:rFonts w:asciiTheme="minorHAnsi" w:hAnsiTheme="minorHAnsi"/>
        </w:rPr>
        <w:t>Wie voor het mogelijk maken van een project gebruik wil maken van eigen stikstofruimte (intern salderen) of stikstofruimte van een stoppende activiteit elders (extern salderen)</w:t>
      </w:r>
      <w:r w:rsidRPr="0018453F" w:rsidR="0018453F">
        <w:rPr>
          <w:rFonts w:asciiTheme="minorHAnsi" w:hAnsiTheme="minorHAnsi"/>
        </w:rPr>
        <w:t>, moet aantonen dat die stikstofruimte aanvullend (additioneel) is op de stikstofruimte die al via reductiemaatregelen wordt vrijgemaakt voor natuurherstel. Zolang de natuur overbelast is en die reductiemaatregelen uitblijven is dit niet mogelijk en kan er niet intern of extern worden gesaldeerd.</w:t>
      </w:r>
    </w:p>
  </w:footnote>
  <w:footnote w:id="3">
    <w:p w:rsidR="004773D0" w:rsidP="004773D0" w:rsidRDefault="004773D0" w14:paraId="0A01B689" w14:textId="77777777">
      <w:pPr>
        <w:pStyle w:val="Voetnoottekst"/>
      </w:pPr>
      <w:r>
        <w:rPr>
          <w:rStyle w:val="Voetnootmarkering"/>
        </w:rPr>
        <w:footnoteRef/>
      </w:r>
      <w:r>
        <w:t xml:space="preserve"> </w:t>
      </w:r>
      <w:r>
        <w:tab/>
      </w:r>
      <w:r w:rsidRPr="0018453F">
        <w:rPr>
          <w:rFonts w:asciiTheme="minorHAnsi" w:hAnsiTheme="minorHAnsi"/>
        </w:rPr>
        <w:t xml:space="preserve">Voorbeeld: een bedrijf vervangt twee oude ketels. Voor de nieuwe ketels gelden andere regels uit het Besluit activiteiten leefomgeving (Bal). Als de ketels worden vervangen om te voldoen aan het Bal is de vervanging een standaardonderdeel en kan het project (de totale bedrijfsactiviteit incl. vervanging) worden beoordeeld in de </w:t>
      </w:r>
      <w:proofErr w:type="spellStart"/>
      <w:r w:rsidRPr="0018453F">
        <w:rPr>
          <w:rFonts w:asciiTheme="minorHAnsi" w:hAnsiTheme="minorHAnsi"/>
        </w:rPr>
        <w:t>voortoets</w:t>
      </w:r>
      <w:proofErr w:type="spellEnd"/>
      <w:r w:rsidRPr="0018453F">
        <w:rPr>
          <w:rFonts w:asciiTheme="minorHAnsi" w:hAnsiTheme="minorHAnsi"/>
        </w:rPr>
        <w:t>.</w:t>
      </w:r>
    </w:p>
    <w:p w:rsidR="004773D0" w:rsidP="004773D0" w:rsidRDefault="004773D0" w14:paraId="7EC45126" w14:textId="77777777">
      <w:pPr>
        <w:pStyle w:val="Voetnoottekst"/>
      </w:pPr>
    </w:p>
  </w:footnote>
  <w:footnote w:id="4">
    <w:p w:rsidRPr="0018453F" w:rsidR="004773D0" w:rsidP="004773D0" w:rsidRDefault="004773D0" w14:paraId="07C48130" w14:textId="77777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sz w:val="20"/>
          <w:szCs w:val="20"/>
        </w:rPr>
      </w:pPr>
      <w:r>
        <w:rPr>
          <w:rStyle w:val="Voetnootmarkering"/>
        </w:rPr>
        <w:footnoteRef/>
      </w:r>
      <w:r>
        <w:t xml:space="preserve"> </w:t>
      </w:r>
      <w:r>
        <w:tab/>
      </w:r>
      <w:r w:rsidRPr="0018453F">
        <w:rPr>
          <w:sz w:val="20"/>
          <w:szCs w:val="20"/>
        </w:rPr>
        <w:t xml:space="preserve">PBL, WUR en RIVM (2024): met ingezet en voorgenomen beleid wordt gemiddeld 210 mol/ha/jr. reductie bereikt. Dit betreft: reductie van buitenlandse stikstofemissies (ca. 95 mol), ander beleid zoals de afschaffing van de derogatie, meer en effectievere emissiearme stallen en schonere motoren in het wegverkeer (ca. 65 mol), het Programma Stikstof en Natuurverbetering (ca. 25 mol dankzij stoppersregelingen </w:t>
      </w:r>
      <w:proofErr w:type="spellStart"/>
      <w:r w:rsidRPr="0018453F">
        <w:rPr>
          <w:sz w:val="20"/>
          <w:szCs w:val="20"/>
        </w:rPr>
        <w:t>Srv</w:t>
      </w:r>
      <w:proofErr w:type="spellEnd"/>
      <w:r w:rsidRPr="0018453F">
        <w:rPr>
          <w:sz w:val="20"/>
          <w:szCs w:val="20"/>
        </w:rPr>
        <w:t xml:space="preserve">, MGA/MGB en LBV en de LBV-plus regeling (ca. 30 mol).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5D7BAB"/>
    <w:multiLevelType w:val="hybridMultilevel"/>
    <w:tmpl w:val="870663B6"/>
    <w:lvl w:ilvl="0" w:tplc="04130001">
      <w:start w:val="1"/>
      <w:numFmt w:val="bullet"/>
      <w:lvlText w:val=""/>
      <w:lvlJc w:val="left"/>
      <w:pPr>
        <w:ind w:left="720" w:hanging="360"/>
      </w:pPr>
      <w:rPr>
        <w:rFonts w:hint="default" w:ascii="Symbol" w:hAnsi="Symbo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F10336A"/>
    <w:multiLevelType w:val="hybridMultilevel"/>
    <w:tmpl w:val="777EB8CE"/>
    <w:lvl w:ilvl="0" w:tplc="04130001">
      <w:start w:val="1"/>
      <w:numFmt w:val="bullet"/>
      <w:lvlText w:val=""/>
      <w:lvlJc w:val="left"/>
      <w:pPr>
        <w:ind w:left="720" w:hanging="360"/>
      </w:pPr>
      <w:rPr>
        <w:rFonts w:hint="default" w:ascii="Symbol" w:hAnsi="Symbo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FF44EA8"/>
    <w:multiLevelType w:val="hybridMultilevel"/>
    <w:tmpl w:val="996660B0"/>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3" w15:restartNumberingAfterBreak="0">
    <w:nsid w:val="47745DBD"/>
    <w:multiLevelType w:val="hybridMultilevel"/>
    <w:tmpl w:val="F26A6C74"/>
    <w:lvl w:ilvl="0" w:tplc="04130001">
      <w:start w:val="1"/>
      <w:numFmt w:val="bullet"/>
      <w:lvlText w:val=""/>
      <w:lvlJc w:val="left"/>
      <w:pPr>
        <w:ind w:left="720" w:hanging="360"/>
      </w:pPr>
      <w:rPr>
        <w:rFonts w:hint="default" w:ascii="Symbol" w:hAnsi="Symbo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90877A6"/>
    <w:multiLevelType w:val="hybridMultilevel"/>
    <w:tmpl w:val="F6F4770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4AF43875"/>
    <w:multiLevelType w:val="hybridMultilevel"/>
    <w:tmpl w:val="3FD8A9CE"/>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6" w15:restartNumberingAfterBreak="0">
    <w:nsid w:val="4FB76ED4"/>
    <w:multiLevelType w:val="hybridMultilevel"/>
    <w:tmpl w:val="B65207B6"/>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7" w15:restartNumberingAfterBreak="0">
    <w:nsid w:val="50EE701B"/>
    <w:multiLevelType w:val="hybridMultilevel"/>
    <w:tmpl w:val="B2CCBFA4"/>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8" w15:restartNumberingAfterBreak="0">
    <w:nsid w:val="6CA95D8C"/>
    <w:multiLevelType w:val="hybridMultilevel"/>
    <w:tmpl w:val="20C2254C"/>
    <w:lvl w:ilvl="0" w:tplc="B0401762">
      <w:start w:val="1"/>
      <w:numFmt w:val="bullet"/>
      <w:lvlText w:val="-"/>
      <w:lvlJc w:val="left"/>
      <w:pPr>
        <w:ind w:left="1080" w:hanging="360"/>
      </w:pPr>
      <w:rPr>
        <w:rFonts w:hint="default" w:ascii="Aptos" w:hAnsi="Aptos" w:eastAsiaTheme="minorHAnsi" w:cstheme="minorBidi"/>
      </w:rPr>
    </w:lvl>
    <w:lvl w:ilvl="1" w:tplc="04130003" w:tentative="1">
      <w:start w:val="1"/>
      <w:numFmt w:val="bullet"/>
      <w:lvlText w:val="o"/>
      <w:lvlJc w:val="left"/>
      <w:pPr>
        <w:ind w:left="1800" w:hanging="360"/>
      </w:pPr>
      <w:rPr>
        <w:rFonts w:hint="default" w:ascii="Courier New" w:hAnsi="Courier New" w:cs="Courier New"/>
      </w:rPr>
    </w:lvl>
    <w:lvl w:ilvl="2" w:tplc="04130005" w:tentative="1">
      <w:start w:val="1"/>
      <w:numFmt w:val="bullet"/>
      <w:lvlText w:val=""/>
      <w:lvlJc w:val="left"/>
      <w:pPr>
        <w:ind w:left="2520" w:hanging="360"/>
      </w:pPr>
      <w:rPr>
        <w:rFonts w:hint="default" w:ascii="Wingdings" w:hAnsi="Wingdings"/>
      </w:rPr>
    </w:lvl>
    <w:lvl w:ilvl="3" w:tplc="04130001" w:tentative="1">
      <w:start w:val="1"/>
      <w:numFmt w:val="bullet"/>
      <w:lvlText w:val=""/>
      <w:lvlJc w:val="left"/>
      <w:pPr>
        <w:ind w:left="3240" w:hanging="360"/>
      </w:pPr>
      <w:rPr>
        <w:rFonts w:hint="default" w:ascii="Symbol" w:hAnsi="Symbol"/>
      </w:rPr>
    </w:lvl>
    <w:lvl w:ilvl="4" w:tplc="04130003" w:tentative="1">
      <w:start w:val="1"/>
      <w:numFmt w:val="bullet"/>
      <w:lvlText w:val="o"/>
      <w:lvlJc w:val="left"/>
      <w:pPr>
        <w:ind w:left="3960" w:hanging="360"/>
      </w:pPr>
      <w:rPr>
        <w:rFonts w:hint="default" w:ascii="Courier New" w:hAnsi="Courier New" w:cs="Courier New"/>
      </w:rPr>
    </w:lvl>
    <w:lvl w:ilvl="5" w:tplc="04130005" w:tentative="1">
      <w:start w:val="1"/>
      <w:numFmt w:val="bullet"/>
      <w:lvlText w:val=""/>
      <w:lvlJc w:val="left"/>
      <w:pPr>
        <w:ind w:left="4680" w:hanging="360"/>
      </w:pPr>
      <w:rPr>
        <w:rFonts w:hint="default" w:ascii="Wingdings" w:hAnsi="Wingdings"/>
      </w:rPr>
    </w:lvl>
    <w:lvl w:ilvl="6" w:tplc="04130001" w:tentative="1">
      <w:start w:val="1"/>
      <w:numFmt w:val="bullet"/>
      <w:lvlText w:val=""/>
      <w:lvlJc w:val="left"/>
      <w:pPr>
        <w:ind w:left="5400" w:hanging="360"/>
      </w:pPr>
      <w:rPr>
        <w:rFonts w:hint="default" w:ascii="Symbol" w:hAnsi="Symbol"/>
      </w:rPr>
    </w:lvl>
    <w:lvl w:ilvl="7" w:tplc="04130003" w:tentative="1">
      <w:start w:val="1"/>
      <w:numFmt w:val="bullet"/>
      <w:lvlText w:val="o"/>
      <w:lvlJc w:val="left"/>
      <w:pPr>
        <w:ind w:left="6120" w:hanging="360"/>
      </w:pPr>
      <w:rPr>
        <w:rFonts w:hint="default" w:ascii="Courier New" w:hAnsi="Courier New" w:cs="Courier New"/>
      </w:rPr>
    </w:lvl>
    <w:lvl w:ilvl="8" w:tplc="04130005" w:tentative="1">
      <w:start w:val="1"/>
      <w:numFmt w:val="bullet"/>
      <w:lvlText w:val=""/>
      <w:lvlJc w:val="left"/>
      <w:pPr>
        <w:ind w:left="6840" w:hanging="360"/>
      </w:pPr>
      <w:rPr>
        <w:rFonts w:hint="default" w:ascii="Wingdings" w:hAnsi="Wingdings"/>
      </w:rPr>
    </w:lvl>
  </w:abstractNum>
  <w:abstractNum w:abstractNumId="9" w15:restartNumberingAfterBreak="0">
    <w:nsid w:val="6FF55C35"/>
    <w:multiLevelType w:val="hybridMultilevel"/>
    <w:tmpl w:val="799AAB2A"/>
    <w:lvl w:ilvl="0" w:tplc="4628F406">
      <w:numFmt w:val="bullet"/>
      <w:lvlText w:val="-"/>
      <w:lvlJc w:val="left"/>
      <w:pPr>
        <w:ind w:left="1068" w:hanging="360"/>
      </w:pPr>
      <w:rPr>
        <w:rFonts w:hint="default" w:ascii="Aptos" w:hAnsi="Aptos" w:eastAsiaTheme="minorHAnsi" w:cstheme="minorBidi"/>
      </w:rPr>
    </w:lvl>
    <w:lvl w:ilvl="1" w:tplc="FFFFFFFF" w:tentative="1">
      <w:start w:val="1"/>
      <w:numFmt w:val="bullet"/>
      <w:lvlText w:val="o"/>
      <w:lvlJc w:val="left"/>
      <w:pPr>
        <w:ind w:left="1788" w:hanging="360"/>
      </w:pPr>
      <w:rPr>
        <w:rFonts w:hint="default" w:ascii="Courier New" w:hAnsi="Courier New" w:cs="Courier New"/>
      </w:rPr>
    </w:lvl>
    <w:lvl w:ilvl="2" w:tplc="FFFFFFFF" w:tentative="1">
      <w:start w:val="1"/>
      <w:numFmt w:val="bullet"/>
      <w:lvlText w:val=""/>
      <w:lvlJc w:val="left"/>
      <w:pPr>
        <w:ind w:left="2508" w:hanging="360"/>
      </w:pPr>
      <w:rPr>
        <w:rFonts w:hint="default" w:ascii="Wingdings" w:hAnsi="Wingdings"/>
      </w:rPr>
    </w:lvl>
    <w:lvl w:ilvl="3" w:tplc="FFFFFFFF" w:tentative="1">
      <w:start w:val="1"/>
      <w:numFmt w:val="bullet"/>
      <w:lvlText w:val=""/>
      <w:lvlJc w:val="left"/>
      <w:pPr>
        <w:ind w:left="3228" w:hanging="360"/>
      </w:pPr>
      <w:rPr>
        <w:rFonts w:hint="default" w:ascii="Symbol" w:hAnsi="Symbol"/>
      </w:rPr>
    </w:lvl>
    <w:lvl w:ilvl="4" w:tplc="FFFFFFFF" w:tentative="1">
      <w:start w:val="1"/>
      <w:numFmt w:val="bullet"/>
      <w:lvlText w:val="o"/>
      <w:lvlJc w:val="left"/>
      <w:pPr>
        <w:ind w:left="3948" w:hanging="360"/>
      </w:pPr>
      <w:rPr>
        <w:rFonts w:hint="default" w:ascii="Courier New" w:hAnsi="Courier New" w:cs="Courier New"/>
      </w:rPr>
    </w:lvl>
    <w:lvl w:ilvl="5" w:tplc="FFFFFFFF" w:tentative="1">
      <w:start w:val="1"/>
      <w:numFmt w:val="bullet"/>
      <w:lvlText w:val=""/>
      <w:lvlJc w:val="left"/>
      <w:pPr>
        <w:ind w:left="4668" w:hanging="360"/>
      </w:pPr>
      <w:rPr>
        <w:rFonts w:hint="default" w:ascii="Wingdings" w:hAnsi="Wingdings"/>
      </w:rPr>
    </w:lvl>
    <w:lvl w:ilvl="6" w:tplc="FFFFFFFF" w:tentative="1">
      <w:start w:val="1"/>
      <w:numFmt w:val="bullet"/>
      <w:lvlText w:val=""/>
      <w:lvlJc w:val="left"/>
      <w:pPr>
        <w:ind w:left="5388" w:hanging="360"/>
      </w:pPr>
      <w:rPr>
        <w:rFonts w:hint="default" w:ascii="Symbol" w:hAnsi="Symbol"/>
      </w:rPr>
    </w:lvl>
    <w:lvl w:ilvl="7" w:tplc="FFFFFFFF" w:tentative="1">
      <w:start w:val="1"/>
      <w:numFmt w:val="bullet"/>
      <w:lvlText w:val="o"/>
      <w:lvlJc w:val="left"/>
      <w:pPr>
        <w:ind w:left="6108" w:hanging="360"/>
      </w:pPr>
      <w:rPr>
        <w:rFonts w:hint="default" w:ascii="Courier New" w:hAnsi="Courier New" w:cs="Courier New"/>
      </w:rPr>
    </w:lvl>
    <w:lvl w:ilvl="8" w:tplc="FFFFFFFF" w:tentative="1">
      <w:start w:val="1"/>
      <w:numFmt w:val="bullet"/>
      <w:lvlText w:val=""/>
      <w:lvlJc w:val="left"/>
      <w:pPr>
        <w:ind w:left="6828" w:hanging="360"/>
      </w:pPr>
      <w:rPr>
        <w:rFonts w:hint="default" w:ascii="Wingdings" w:hAnsi="Wingdings"/>
      </w:rPr>
    </w:lvl>
  </w:abstractNum>
  <w:abstractNum w:abstractNumId="10" w15:restartNumberingAfterBreak="0">
    <w:nsid w:val="75B571DC"/>
    <w:multiLevelType w:val="hybridMultilevel"/>
    <w:tmpl w:val="FF309B3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7CAC2F7B"/>
    <w:multiLevelType w:val="hybridMultilevel"/>
    <w:tmpl w:val="BC66500C"/>
    <w:lvl w:ilvl="0" w:tplc="04130001">
      <w:start w:val="1"/>
      <w:numFmt w:val="bullet"/>
      <w:lvlText w:val=""/>
      <w:lvlJc w:val="left"/>
      <w:pPr>
        <w:ind w:left="720" w:hanging="360"/>
      </w:pPr>
      <w:rPr>
        <w:rFonts w:hint="default" w:ascii="Symbol" w:hAnsi="Symbo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10968678">
    <w:abstractNumId w:val="4"/>
  </w:num>
  <w:num w:numId="2" w16cid:durableId="1135877029">
    <w:abstractNumId w:val="6"/>
  </w:num>
  <w:num w:numId="3" w16cid:durableId="351688967">
    <w:abstractNumId w:val="9"/>
  </w:num>
  <w:num w:numId="4" w16cid:durableId="1145702786">
    <w:abstractNumId w:val="10"/>
  </w:num>
  <w:num w:numId="5" w16cid:durableId="335154812">
    <w:abstractNumId w:val="7"/>
  </w:num>
  <w:num w:numId="6" w16cid:durableId="83845111">
    <w:abstractNumId w:val="5"/>
  </w:num>
  <w:num w:numId="7" w16cid:durableId="1238901799">
    <w:abstractNumId w:val="2"/>
  </w:num>
  <w:num w:numId="8" w16cid:durableId="1634797894">
    <w:abstractNumId w:val="3"/>
  </w:num>
  <w:num w:numId="9" w16cid:durableId="270475867">
    <w:abstractNumId w:val="0"/>
  </w:num>
  <w:num w:numId="10" w16cid:durableId="1172918406">
    <w:abstractNumId w:val="11"/>
  </w:num>
  <w:num w:numId="11" w16cid:durableId="918251981">
    <w:abstractNumId w:val="1"/>
  </w:num>
  <w:num w:numId="12" w16cid:durableId="123932158">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trackRevisions w:val="false"/>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0E3"/>
    <w:rsid w:val="00002893"/>
    <w:rsid w:val="00002C34"/>
    <w:rsid w:val="00003FB0"/>
    <w:rsid w:val="0000507F"/>
    <w:rsid w:val="00010177"/>
    <w:rsid w:val="00010DED"/>
    <w:rsid w:val="0002127B"/>
    <w:rsid w:val="0002269E"/>
    <w:rsid w:val="0002441C"/>
    <w:rsid w:val="00032473"/>
    <w:rsid w:val="0003262A"/>
    <w:rsid w:val="000334AD"/>
    <w:rsid w:val="000335F5"/>
    <w:rsid w:val="000355D3"/>
    <w:rsid w:val="00042101"/>
    <w:rsid w:val="000449E5"/>
    <w:rsid w:val="00046EF2"/>
    <w:rsid w:val="00055409"/>
    <w:rsid w:val="00060252"/>
    <w:rsid w:val="00065531"/>
    <w:rsid w:val="000678E8"/>
    <w:rsid w:val="00082021"/>
    <w:rsid w:val="00082575"/>
    <w:rsid w:val="00084FA1"/>
    <w:rsid w:val="00087AD1"/>
    <w:rsid w:val="0009417A"/>
    <w:rsid w:val="00096150"/>
    <w:rsid w:val="00096E7D"/>
    <w:rsid w:val="00097207"/>
    <w:rsid w:val="000D2307"/>
    <w:rsid w:val="000D3033"/>
    <w:rsid w:val="000D54D6"/>
    <w:rsid w:val="000D6349"/>
    <w:rsid w:val="000E6891"/>
    <w:rsid w:val="000F03FC"/>
    <w:rsid w:val="000F3CE4"/>
    <w:rsid w:val="000F40EC"/>
    <w:rsid w:val="000F53DD"/>
    <w:rsid w:val="000F62AC"/>
    <w:rsid w:val="00106CB1"/>
    <w:rsid w:val="001131FF"/>
    <w:rsid w:val="0011324F"/>
    <w:rsid w:val="001151D0"/>
    <w:rsid w:val="001154E1"/>
    <w:rsid w:val="00120C7B"/>
    <w:rsid w:val="00122DA1"/>
    <w:rsid w:val="00123AA4"/>
    <w:rsid w:val="001241FD"/>
    <w:rsid w:val="00143D48"/>
    <w:rsid w:val="0015093A"/>
    <w:rsid w:val="00151D7F"/>
    <w:rsid w:val="00152E3E"/>
    <w:rsid w:val="0015367D"/>
    <w:rsid w:val="00155080"/>
    <w:rsid w:val="00155B3B"/>
    <w:rsid w:val="00156E36"/>
    <w:rsid w:val="00164F3F"/>
    <w:rsid w:val="00170398"/>
    <w:rsid w:val="00172813"/>
    <w:rsid w:val="00176E53"/>
    <w:rsid w:val="00184353"/>
    <w:rsid w:val="0018453F"/>
    <w:rsid w:val="00184E6C"/>
    <w:rsid w:val="001914C1"/>
    <w:rsid w:val="00195E83"/>
    <w:rsid w:val="00196861"/>
    <w:rsid w:val="001976E5"/>
    <w:rsid w:val="001A5A3C"/>
    <w:rsid w:val="001B2CEC"/>
    <w:rsid w:val="001B32DC"/>
    <w:rsid w:val="001C0894"/>
    <w:rsid w:val="001C1823"/>
    <w:rsid w:val="001C3025"/>
    <w:rsid w:val="001C62F8"/>
    <w:rsid w:val="001D376B"/>
    <w:rsid w:val="001D5C13"/>
    <w:rsid w:val="001D69D9"/>
    <w:rsid w:val="001E5928"/>
    <w:rsid w:val="001E5CD1"/>
    <w:rsid w:val="001F0342"/>
    <w:rsid w:val="001F1053"/>
    <w:rsid w:val="001F135E"/>
    <w:rsid w:val="001F3CBF"/>
    <w:rsid w:val="001F7B20"/>
    <w:rsid w:val="002006A6"/>
    <w:rsid w:val="002126EF"/>
    <w:rsid w:val="00213E55"/>
    <w:rsid w:val="002155AB"/>
    <w:rsid w:val="00220E9C"/>
    <w:rsid w:val="002217CC"/>
    <w:rsid w:val="00222539"/>
    <w:rsid w:val="00222B4C"/>
    <w:rsid w:val="00222C0D"/>
    <w:rsid w:val="00225A4D"/>
    <w:rsid w:val="00226E84"/>
    <w:rsid w:val="00231A70"/>
    <w:rsid w:val="0023219A"/>
    <w:rsid w:val="00233DBB"/>
    <w:rsid w:val="00235BAC"/>
    <w:rsid w:val="00240047"/>
    <w:rsid w:val="00240607"/>
    <w:rsid w:val="00241CEE"/>
    <w:rsid w:val="00242C15"/>
    <w:rsid w:val="00246A89"/>
    <w:rsid w:val="002517DE"/>
    <w:rsid w:val="002542FD"/>
    <w:rsid w:val="00254439"/>
    <w:rsid w:val="00260C26"/>
    <w:rsid w:val="00262C2A"/>
    <w:rsid w:val="002654A7"/>
    <w:rsid w:val="002661E5"/>
    <w:rsid w:val="00273A44"/>
    <w:rsid w:val="002814AC"/>
    <w:rsid w:val="00281D84"/>
    <w:rsid w:val="00284928"/>
    <w:rsid w:val="00285C8E"/>
    <w:rsid w:val="00290EE5"/>
    <w:rsid w:val="002922A8"/>
    <w:rsid w:val="00296129"/>
    <w:rsid w:val="002A00A2"/>
    <w:rsid w:val="002A565F"/>
    <w:rsid w:val="002B1A88"/>
    <w:rsid w:val="002B26F1"/>
    <w:rsid w:val="002B36CD"/>
    <w:rsid w:val="002B6A5C"/>
    <w:rsid w:val="002C1EAC"/>
    <w:rsid w:val="002C3256"/>
    <w:rsid w:val="002D4E13"/>
    <w:rsid w:val="002D5B39"/>
    <w:rsid w:val="002F2BB1"/>
    <w:rsid w:val="002F3DA9"/>
    <w:rsid w:val="002F41E2"/>
    <w:rsid w:val="002F5D5F"/>
    <w:rsid w:val="002F6D5C"/>
    <w:rsid w:val="003007A7"/>
    <w:rsid w:val="00304A79"/>
    <w:rsid w:val="0030648F"/>
    <w:rsid w:val="003065F8"/>
    <w:rsid w:val="00306EA6"/>
    <w:rsid w:val="00307777"/>
    <w:rsid w:val="003079C8"/>
    <w:rsid w:val="003150EB"/>
    <w:rsid w:val="00315203"/>
    <w:rsid w:val="00321B65"/>
    <w:rsid w:val="00321E34"/>
    <w:rsid w:val="00324E04"/>
    <w:rsid w:val="00327358"/>
    <w:rsid w:val="00335C4C"/>
    <w:rsid w:val="0034258B"/>
    <w:rsid w:val="003425F9"/>
    <w:rsid w:val="00353817"/>
    <w:rsid w:val="0035389A"/>
    <w:rsid w:val="00353F2F"/>
    <w:rsid w:val="003540C7"/>
    <w:rsid w:val="003547F7"/>
    <w:rsid w:val="0035520D"/>
    <w:rsid w:val="00357094"/>
    <w:rsid w:val="00361C16"/>
    <w:rsid w:val="00363BB0"/>
    <w:rsid w:val="003642AD"/>
    <w:rsid w:val="00364B29"/>
    <w:rsid w:val="00365DA2"/>
    <w:rsid w:val="0037468D"/>
    <w:rsid w:val="00374903"/>
    <w:rsid w:val="00376F99"/>
    <w:rsid w:val="0038134C"/>
    <w:rsid w:val="00382797"/>
    <w:rsid w:val="00387034"/>
    <w:rsid w:val="003909C8"/>
    <w:rsid w:val="00393A22"/>
    <w:rsid w:val="003A309F"/>
    <w:rsid w:val="003A3EF2"/>
    <w:rsid w:val="003A4303"/>
    <w:rsid w:val="003A712A"/>
    <w:rsid w:val="003B0674"/>
    <w:rsid w:val="003B120A"/>
    <w:rsid w:val="003B2B5A"/>
    <w:rsid w:val="003B3DA2"/>
    <w:rsid w:val="003B3FCB"/>
    <w:rsid w:val="003B5E53"/>
    <w:rsid w:val="003B6273"/>
    <w:rsid w:val="003B7EE7"/>
    <w:rsid w:val="003C3DEB"/>
    <w:rsid w:val="003D51F9"/>
    <w:rsid w:val="003D5BE4"/>
    <w:rsid w:val="003E044B"/>
    <w:rsid w:val="003E2B43"/>
    <w:rsid w:val="003E5A47"/>
    <w:rsid w:val="003E64BF"/>
    <w:rsid w:val="003F4142"/>
    <w:rsid w:val="003F6B7A"/>
    <w:rsid w:val="00404CE5"/>
    <w:rsid w:val="004050B8"/>
    <w:rsid w:val="004057E0"/>
    <w:rsid w:val="00407021"/>
    <w:rsid w:val="0041238F"/>
    <w:rsid w:val="00414F36"/>
    <w:rsid w:val="004175BB"/>
    <w:rsid w:val="0041770E"/>
    <w:rsid w:val="004201B0"/>
    <w:rsid w:val="004214C4"/>
    <w:rsid w:val="0042167B"/>
    <w:rsid w:val="004251CD"/>
    <w:rsid w:val="00431F98"/>
    <w:rsid w:val="0043635D"/>
    <w:rsid w:val="00440241"/>
    <w:rsid w:val="00440FCD"/>
    <w:rsid w:val="004432B7"/>
    <w:rsid w:val="00450E0C"/>
    <w:rsid w:val="00452FD4"/>
    <w:rsid w:val="00453C3B"/>
    <w:rsid w:val="004618F5"/>
    <w:rsid w:val="0046280B"/>
    <w:rsid w:val="00465CB8"/>
    <w:rsid w:val="004773D0"/>
    <w:rsid w:val="004820B5"/>
    <w:rsid w:val="004902E7"/>
    <w:rsid w:val="004910A5"/>
    <w:rsid w:val="00491706"/>
    <w:rsid w:val="00495286"/>
    <w:rsid w:val="00497B6B"/>
    <w:rsid w:val="004A131E"/>
    <w:rsid w:val="004A7251"/>
    <w:rsid w:val="004B44EE"/>
    <w:rsid w:val="004B6B50"/>
    <w:rsid w:val="004C0C3B"/>
    <w:rsid w:val="004C74ED"/>
    <w:rsid w:val="004E0B5B"/>
    <w:rsid w:val="004E2A73"/>
    <w:rsid w:val="004E2EBC"/>
    <w:rsid w:val="004E3D4A"/>
    <w:rsid w:val="004F7AF8"/>
    <w:rsid w:val="004F7F73"/>
    <w:rsid w:val="0050493B"/>
    <w:rsid w:val="00505DAB"/>
    <w:rsid w:val="00507E3E"/>
    <w:rsid w:val="005102B4"/>
    <w:rsid w:val="00510EDD"/>
    <w:rsid w:val="00515A53"/>
    <w:rsid w:val="0051710A"/>
    <w:rsid w:val="00517407"/>
    <w:rsid w:val="00517760"/>
    <w:rsid w:val="00523AD1"/>
    <w:rsid w:val="00530F1D"/>
    <w:rsid w:val="0054093A"/>
    <w:rsid w:val="005430A7"/>
    <w:rsid w:val="00550C90"/>
    <w:rsid w:val="00550CD5"/>
    <w:rsid w:val="00551833"/>
    <w:rsid w:val="00554D3E"/>
    <w:rsid w:val="0056168A"/>
    <w:rsid w:val="00562D76"/>
    <w:rsid w:val="00565536"/>
    <w:rsid w:val="00570005"/>
    <w:rsid w:val="0057011F"/>
    <w:rsid w:val="00571402"/>
    <w:rsid w:val="005750A2"/>
    <w:rsid w:val="00575767"/>
    <w:rsid w:val="00581603"/>
    <w:rsid w:val="00581877"/>
    <w:rsid w:val="0058358D"/>
    <w:rsid w:val="00584640"/>
    <w:rsid w:val="00584A87"/>
    <w:rsid w:val="00592057"/>
    <w:rsid w:val="005948EF"/>
    <w:rsid w:val="005967DE"/>
    <w:rsid w:val="005A31F8"/>
    <w:rsid w:val="005A48C1"/>
    <w:rsid w:val="005A4F57"/>
    <w:rsid w:val="005A522C"/>
    <w:rsid w:val="005A6F50"/>
    <w:rsid w:val="005B0008"/>
    <w:rsid w:val="005B0E7D"/>
    <w:rsid w:val="005B170B"/>
    <w:rsid w:val="005B2304"/>
    <w:rsid w:val="005C1975"/>
    <w:rsid w:val="005C5F0B"/>
    <w:rsid w:val="005E1C63"/>
    <w:rsid w:val="005E3048"/>
    <w:rsid w:val="005E3D12"/>
    <w:rsid w:val="005F22D0"/>
    <w:rsid w:val="005F54E4"/>
    <w:rsid w:val="006006FE"/>
    <w:rsid w:val="00601533"/>
    <w:rsid w:val="00605511"/>
    <w:rsid w:val="006067BF"/>
    <w:rsid w:val="006112AE"/>
    <w:rsid w:val="00621ACC"/>
    <w:rsid w:val="00622B25"/>
    <w:rsid w:val="00624984"/>
    <w:rsid w:val="00633107"/>
    <w:rsid w:val="00633B59"/>
    <w:rsid w:val="0063518D"/>
    <w:rsid w:val="00640090"/>
    <w:rsid w:val="00642039"/>
    <w:rsid w:val="006444DC"/>
    <w:rsid w:val="006452E0"/>
    <w:rsid w:val="006520C3"/>
    <w:rsid w:val="00653FE3"/>
    <w:rsid w:val="0065470F"/>
    <w:rsid w:val="00661D74"/>
    <w:rsid w:val="006763E0"/>
    <w:rsid w:val="00677A75"/>
    <w:rsid w:val="00683D8C"/>
    <w:rsid w:val="00684174"/>
    <w:rsid w:val="006879C4"/>
    <w:rsid w:val="00696C2F"/>
    <w:rsid w:val="00697B63"/>
    <w:rsid w:val="006A4FE2"/>
    <w:rsid w:val="006B1084"/>
    <w:rsid w:val="006B117B"/>
    <w:rsid w:val="006B3D35"/>
    <w:rsid w:val="006C0869"/>
    <w:rsid w:val="006C62D7"/>
    <w:rsid w:val="006C66F3"/>
    <w:rsid w:val="006D0BF2"/>
    <w:rsid w:val="006D1E2B"/>
    <w:rsid w:val="006D35D5"/>
    <w:rsid w:val="006E002A"/>
    <w:rsid w:val="006E47C6"/>
    <w:rsid w:val="006F6531"/>
    <w:rsid w:val="006F6B61"/>
    <w:rsid w:val="00702D97"/>
    <w:rsid w:val="00710BCD"/>
    <w:rsid w:val="00710D59"/>
    <w:rsid w:val="00713160"/>
    <w:rsid w:val="00713921"/>
    <w:rsid w:val="00715A64"/>
    <w:rsid w:val="00715E5B"/>
    <w:rsid w:val="00721DC0"/>
    <w:rsid w:val="00722C1B"/>
    <w:rsid w:val="0073071E"/>
    <w:rsid w:val="00731688"/>
    <w:rsid w:val="00733724"/>
    <w:rsid w:val="00733AEC"/>
    <w:rsid w:val="007411C4"/>
    <w:rsid w:val="00744044"/>
    <w:rsid w:val="0074611A"/>
    <w:rsid w:val="007479DD"/>
    <w:rsid w:val="0075114C"/>
    <w:rsid w:val="007537C4"/>
    <w:rsid w:val="007553DD"/>
    <w:rsid w:val="00755447"/>
    <w:rsid w:val="00756067"/>
    <w:rsid w:val="00756C53"/>
    <w:rsid w:val="00760548"/>
    <w:rsid w:val="00760638"/>
    <w:rsid w:val="00763935"/>
    <w:rsid w:val="00766479"/>
    <w:rsid w:val="007675D5"/>
    <w:rsid w:val="00773A80"/>
    <w:rsid w:val="007767D8"/>
    <w:rsid w:val="00776DE2"/>
    <w:rsid w:val="007824D5"/>
    <w:rsid w:val="007846B9"/>
    <w:rsid w:val="00790A21"/>
    <w:rsid w:val="00792080"/>
    <w:rsid w:val="0079279F"/>
    <w:rsid w:val="007929C3"/>
    <w:rsid w:val="00794D0D"/>
    <w:rsid w:val="0079645B"/>
    <w:rsid w:val="00796946"/>
    <w:rsid w:val="00796DB0"/>
    <w:rsid w:val="00797BC3"/>
    <w:rsid w:val="007A396F"/>
    <w:rsid w:val="007A659C"/>
    <w:rsid w:val="007A7DCE"/>
    <w:rsid w:val="007B097B"/>
    <w:rsid w:val="007C16A1"/>
    <w:rsid w:val="007D1666"/>
    <w:rsid w:val="007D6B20"/>
    <w:rsid w:val="007D7B9E"/>
    <w:rsid w:val="007E13BA"/>
    <w:rsid w:val="007E16AA"/>
    <w:rsid w:val="007E3B27"/>
    <w:rsid w:val="007E523A"/>
    <w:rsid w:val="007E7EC0"/>
    <w:rsid w:val="007F1215"/>
    <w:rsid w:val="007F2AD5"/>
    <w:rsid w:val="007F4020"/>
    <w:rsid w:val="007F57CA"/>
    <w:rsid w:val="007F78BB"/>
    <w:rsid w:val="0080106D"/>
    <w:rsid w:val="00802D23"/>
    <w:rsid w:val="00803A8F"/>
    <w:rsid w:val="00806400"/>
    <w:rsid w:val="00806961"/>
    <w:rsid w:val="00807B65"/>
    <w:rsid w:val="00807E42"/>
    <w:rsid w:val="00813800"/>
    <w:rsid w:val="00820B1C"/>
    <w:rsid w:val="00824A90"/>
    <w:rsid w:val="00824E49"/>
    <w:rsid w:val="00830637"/>
    <w:rsid w:val="00844586"/>
    <w:rsid w:val="0084560C"/>
    <w:rsid w:val="00846513"/>
    <w:rsid w:val="0084652E"/>
    <w:rsid w:val="00846AE6"/>
    <w:rsid w:val="0085237D"/>
    <w:rsid w:val="008533E6"/>
    <w:rsid w:val="00857CB4"/>
    <w:rsid w:val="008624BF"/>
    <w:rsid w:val="00865643"/>
    <w:rsid w:val="00866E44"/>
    <w:rsid w:val="008671DF"/>
    <w:rsid w:val="008675CD"/>
    <w:rsid w:val="00876214"/>
    <w:rsid w:val="00877F95"/>
    <w:rsid w:val="00877FB8"/>
    <w:rsid w:val="00885CEA"/>
    <w:rsid w:val="00886FF7"/>
    <w:rsid w:val="008A26CC"/>
    <w:rsid w:val="008A7600"/>
    <w:rsid w:val="008B6236"/>
    <w:rsid w:val="008C2C3F"/>
    <w:rsid w:val="008D31F1"/>
    <w:rsid w:val="008D4A1C"/>
    <w:rsid w:val="008E0425"/>
    <w:rsid w:val="008F0C64"/>
    <w:rsid w:val="00902E24"/>
    <w:rsid w:val="00906121"/>
    <w:rsid w:val="0090781D"/>
    <w:rsid w:val="00916739"/>
    <w:rsid w:val="00921E12"/>
    <w:rsid w:val="0092487D"/>
    <w:rsid w:val="00924FC7"/>
    <w:rsid w:val="009258E8"/>
    <w:rsid w:val="0092672F"/>
    <w:rsid w:val="00927261"/>
    <w:rsid w:val="009276D7"/>
    <w:rsid w:val="00934C0F"/>
    <w:rsid w:val="00935116"/>
    <w:rsid w:val="00935734"/>
    <w:rsid w:val="00935EC5"/>
    <w:rsid w:val="0094420B"/>
    <w:rsid w:val="00944953"/>
    <w:rsid w:val="00944FCB"/>
    <w:rsid w:val="00954287"/>
    <w:rsid w:val="009550E6"/>
    <w:rsid w:val="009563C6"/>
    <w:rsid w:val="009613C0"/>
    <w:rsid w:val="00963858"/>
    <w:rsid w:val="00966BC0"/>
    <w:rsid w:val="009675AB"/>
    <w:rsid w:val="009739A6"/>
    <w:rsid w:val="00973C04"/>
    <w:rsid w:val="00986F48"/>
    <w:rsid w:val="009877B6"/>
    <w:rsid w:val="00987BB4"/>
    <w:rsid w:val="0099267E"/>
    <w:rsid w:val="00992D77"/>
    <w:rsid w:val="009950B8"/>
    <w:rsid w:val="00996667"/>
    <w:rsid w:val="00996AB7"/>
    <w:rsid w:val="009A0C8E"/>
    <w:rsid w:val="009A1EC0"/>
    <w:rsid w:val="009A60BC"/>
    <w:rsid w:val="009A637A"/>
    <w:rsid w:val="009A692B"/>
    <w:rsid w:val="009A788B"/>
    <w:rsid w:val="009B01DA"/>
    <w:rsid w:val="009B588C"/>
    <w:rsid w:val="009B7535"/>
    <w:rsid w:val="009B79CD"/>
    <w:rsid w:val="009C14B2"/>
    <w:rsid w:val="009C5280"/>
    <w:rsid w:val="009C60EF"/>
    <w:rsid w:val="009D3081"/>
    <w:rsid w:val="009D5713"/>
    <w:rsid w:val="009D5E86"/>
    <w:rsid w:val="009E0162"/>
    <w:rsid w:val="009F7DB6"/>
    <w:rsid w:val="00A01365"/>
    <w:rsid w:val="00A033BF"/>
    <w:rsid w:val="00A10D9A"/>
    <w:rsid w:val="00A14208"/>
    <w:rsid w:val="00A30095"/>
    <w:rsid w:val="00A33EB6"/>
    <w:rsid w:val="00A348C2"/>
    <w:rsid w:val="00A4714D"/>
    <w:rsid w:val="00A564BC"/>
    <w:rsid w:val="00A6060B"/>
    <w:rsid w:val="00A6074B"/>
    <w:rsid w:val="00A6571E"/>
    <w:rsid w:val="00A72860"/>
    <w:rsid w:val="00A72F92"/>
    <w:rsid w:val="00A74155"/>
    <w:rsid w:val="00A824D9"/>
    <w:rsid w:val="00A911C1"/>
    <w:rsid w:val="00A932A5"/>
    <w:rsid w:val="00A93B67"/>
    <w:rsid w:val="00A965F0"/>
    <w:rsid w:val="00A966B6"/>
    <w:rsid w:val="00AA2936"/>
    <w:rsid w:val="00AA3C26"/>
    <w:rsid w:val="00AA5AFC"/>
    <w:rsid w:val="00AA6597"/>
    <w:rsid w:val="00AB028E"/>
    <w:rsid w:val="00AB0718"/>
    <w:rsid w:val="00AB20B2"/>
    <w:rsid w:val="00AC011E"/>
    <w:rsid w:val="00AC0982"/>
    <w:rsid w:val="00AC638F"/>
    <w:rsid w:val="00AD1C00"/>
    <w:rsid w:val="00AD47D8"/>
    <w:rsid w:val="00AF26F9"/>
    <w:rsid w:val="00AF2DC1"/>
    <w:rsid w:val="00B003C2"/>
    <w:rsid w:val="00B0698D"/>
    <w:rsid w:val="00B110BA"/>
    <w:rsid w:val="00B1160F"/>
    <w:rsid w:val="00B1320C"/>
    <w:rsid w:val="00B31E37"/>
    <w:rsid w:val="00B35E16"/>
    <w:rsid w:val="00B3603B"/>
    <w:rsid w:val="00B446FE"/>
    <w:rsid w:val="00B47078"/>
    <w:rsid w:val="00B474A3"/>
    <w:rsid w:val="00B47D60"/>
    <w:rsid w:val="00B56E45"/>
    <w:rsid w:val="00B614D2"/>
    <w:rsid w:val="00B6249D"/>
    <w:rsid w:val="00B62EE4"/>
    <w:rsid w:val="00B64080"/>
    <w:rsid w:val="00B65C9B"/>
    <w:rsid w:val="00B665DE"/>
    <w:rsid w:val="00B66A60"/>
    <w:rsid w:val="00B72B4E"/>
    <w:rsid w:val="00B751C4"/>
    <w:rsid w:val="00B75699"/>
    <w:rsid w:val="00B763CB"/>
    <w:rsid w:val="00B804C9"/>
    <w:rsid w:val="00B84801"/>
    <w:rsid w:val="00B85A82"/>
    <w:rsid w:val="00B87E88"/>
    <w:rsid w:val="00B925A0"/>
    <w:rsid w:val="00B96C46"/>
    <w:rsid w:val="00B96D2E"/>
    <w:rsid w:val="00BA0192"/>
    <w:rsid w:val="00BA0B32"/>
    <w:rsid w:val="00BA4BB8"/>
    <w:rsid w:val="00BA7B03"/>
    <w:rsid w:val="00BB081B"/>
    <w:rsid w:val="00BB2CC4"/>
    <w:rsid w:val="00BB3E7A"/>
    <w:rsid w:val="00BB4B4D"/>
    <w:rsid w:val="00BB7401"/>
    <w:rsid w:val="00BE206F"/>
    <w:rsid w:val="00BE3C29"/>
    <w:rsid w:val="00BF0B06"/>
    <w:rsid w:val="00BF7802"/>
    <w:rsid w:val="00BF7AF1"/>
    <w:rsid w:val="00C01D7D"/>
    <w:rsid w:val="00C020BB"/>
    <w:rsid w:val="00C02550"/>
    <w:rsid w:val="00C07A66"/>
    <w:rsid w:val="00C13D16"/>
    <w:rsid w:val="00C1563E"/>
    <w:rsid w:val="00C22189"/>
    <w:rsid w:val="00C24622"/>
    <w:rsid w:val="00C24BBF"/>
    <w:rsid w:val="00C24C87"/>
    <w:rsid w:val="00C27630"/>
    <w:rsid w:val="00C27D4C"/>
    <w:rsid w:val="00C35BEA"/>
    <w:rsid w:val="00C439B5"/>
    <w:rsid w:val="00C50468"/>
    <w:rsid w:val="00C5279A"/>
    <w:rsid w:val="00C53921"/>
    <w:rsid w:val="00C60150"/>
    <w:rsid w:val="00C64D45"/>
    <w:rsid w:val="00C65E14"/>
    <w:rsid w:val="00C6637D"/>
    <w:rsid w:val="00C7432A"/>
    <w:rsid w:val="00C83CEB"/>
    <w:rsid w:val="00C84136"/>
    <w:rsid w:val="00C87A6E"/>
    <w:rsid w:val="00C90750"/>
    <w:rsid w:val="00C922B9"/>
    <w:rsid w:val="00C927A5"/>
    <w:rsid w:val="00CA1B61"/>
    <w:rsid w:val="00CA48E3"/>
    <w:rsid w:val="00CA5288"/>
    <w:rsid w:val="00CB0996"/>
    <w:rsid w:val="00CB2156"/>
    <w:rsid w:val="00CB4233"/>
    <w:rsid w:val="00CC021C"/>
    <w:rsid w:val="00CC2131"/>
    <w:rsid w:val="00CC2599"/>
    <w:rsid w:val="00CC353A"/>
    <w:rsid w:val="00CC4E60"/>
    <w:rsid w:val="00CC5425"/>
    <w:rsid w:val="00CC7336"/>
    <w:rsid w:val="00CD03E7"/>
    <w:rsid w:val="00CD18AB"/>
    <w:rsid w:val="00CD2525"/>
    <w:rsid w:val="00CD7D30"/>
    <w:rsid w:val="00CE2DDE"/>
    <w:rsid w:val="00CE3F3F"/>
    <w:rsid w:val="00CE6722"/>
    <w:rsid w:val="00CF08EB"/>
    <w:rsid w:val="00CF5C94"/>
    <w:rsid w:val="00D05E51"/>
    <w:rsid w:val="00D06008"/>
    <w:rsid w:val="00D078EC"/>
    <w:rsid w:val="00D07DD9"/>
    <w:rsid w:val="00D1123D"/>
    <w:rsid w:val="00D16843"/>
    <w:rsid w:val="00D220AF"/>
    <w:rsid w:val="00D234F3"/>
    <w:rsid w:val="00D23D39"/>
    <w:rsid w:val="00D24F0A"/>
    <w:rsid w:val="00D25E0D"/>
    <w:rsid w:val="00D263BC"/>
    <w:rsid w:val="00D31B38"/>
    <w:rsid w:val="00D329FD"/>
    <w:rsid w:val="00D33819"/>
    <w:rsid w:val="00D514EE"/>
    <w:rsid w:val="00D517F7"/>
    <w:rsid w:val="00D54FA5"/>
    <w:rsid w:val="00D55356"/>
    <w:rsid w:val="00D57F3B"/>
    <w:rsid w:val="00D610E3"/>
    <w:rsid w:val="00D62895"/>
    <w:rsid w:val="00D727CC"/>
    <w:rsid w:val="00D73D4F"/>
    <w:rsid w:val="00D7613F"/>
    <w:rsid w:val="00D764CC"/>
    <w:rsid w:val="00D7754F"/>
    <w:rsid w:val="00D779E6"/>
    <w:rsid w:val="00D81428"/>
    <w:rsid w:val="00D874E8"/>
    <w:rsid w:val="00D87831"/>
    <w:rsid w:val="00D90C63"/>
    <w:rsid w:val="00D95C1C"/>
    <w:rsid w:val="00D97B2E"/>
    <w:rsid w:val="00DA7581"/>
    <w:rsid w:val="00DB1B2F"/>
    <w:rsid w:val="00DC288C"/>
    <w:rsid w:val="00DC51CB"/>
    <w:rsid w:val="00DD5611"/>
    <w:rsid w:val="00DE26C7"/>
    <w:rsid w:val="00DE4026"/>
    <w:rsid w:val="00DE5C56"/>
    <w:rsid w:val="00DE60E8"/>
    <w:rsid w:val="00DF1519"/>
    <w:rsid w:val="00DF6A29"/>
    <w:rsid w:val="00DF7C08"/>
    <w:rsid w:val="00E02D03"/>
    <w:rsid w:val="00E055D2"/>
    <w:rsid w:val="00E07BC9"/>
    <w:rsid w:val="00E15F6A"/>
    <w:rsid w:val="00E2033E"/>
    <w:rsid w:val="00E23F52"/>
    <w:rsid w:val="00E260B0"/>
    <w:rsid w:val="00E263F4"/>
    <w:rsid w:val="00E272B8"/>
    <w:rsid w:val="00E30908"/>
    <w:rsid w:val="00E37E33"/>
    <w:rsid w:val="00E42629"/>
    <w:rsid w:val="00E66792"/>
    <w:rsid w:val="00E71017"/>
    <w:rsid w:val="00E72D50"/>
    <w:rsid w:val="00E77DAD"/>
    <w:rsid w:val="00E8448B"/>
    <w:rsid w:val="00E84BA2"/>
    <w:rsid w:val="00E87CEC"/>
    <w:rsid w:val="00E931C0"/>
    <w:rsid w:val="00E93A39"/>
    <w:rsid w:val="00E94545"/>
    <w:rsid w:val="00E9688C"/>
    <w:rsid w:val="00E97FA6"/>
    <w:rsid w:val="00EA667D"/>
    <w:rsid w:val="00EA73B7"/>
    <w:rsid w:val="00EB196D"/>
    <w:rsid w:val="00EC10E8"/>
    <w:rsid w:val="00ED0668"/>
    <w:rsid w:val="00ED1DEF"/>
    <w:rsid w:val="00ED7EC3"/>
    <w:rsid w:val="00EE2CFD"/>
    <w:rsid w:val="00EE3DFA"/>
    <w:rsid w:val="00EE7947"/>
    <w:rsid w:val="00EF0079"/>
    <w:rsid w:val="00EF1755"/>
    <w:rsid w:val="00EF6094"/>
    <w:rsid w:val="00EF6110"/>
    <w:rsid w:val="00EF6D1C"/>
    <w:rsid w:val="00F008E7"/>
    <w:rsid w:val="00F0168E"/>
    <w:rsid w:val="00F0509B"/>
    <w:rsid w:val="00F07A4A"/>
    <w:rsid w:val="00F11EE8"/>
    <w:rsid w:val="00F20068"/>
    <w:rsid w:val="00F20833"/>
    <w:rsid w:val="00F222FB"/>
    <w:rsid w:val="00F22B2C"/>
    <w:rsid w:val="00F27223"/>
    <w:rsid w:val="00F34DFC"/>
    <w:rsid w:val="00F36BB6"/>
    <w:rsid w:val="00F404B2"/>
    <w:rsid w:val="00F44E9A"/>
    <w:rsid w:val="00F5289F"/>
    <w:rsid w:val="00F53A0A"/>
    <w:rsid w:val="00F54295"/>
    <w:rsid w:val="00F54AFD"/>
    <w:rsid w:val="00F624A9"/>
    <w:rsid w:val="00F62CD0"/>
    <w:rsid w:val="00F6451B"/>
    <w:rsid w:val="00F6752E"/>
    <w:rsid w:val="00F723C7"/>
    <w:rsid w:val="00F734FE"/>
    <w:rsid w:val="00F865F5"/>
    <w:rsid w:val="00F87841"/>
    <w:rsid w:val="00F9276A"/>
    <w:rsid w:val="00F93A9D"/>
    <w:rsid w:val="00F97783"/>
    <w:rsid w:val="00FA310E"/>
    <w:rsid w:val="00FB7EE1"/>
    <w:rsid w:val="00FC777E"/>
    <w:rsid w:val="00FD2382"/>
    <w:rsid w:val="00FE6DA0"/>
    <w:rsid w:val="00FF15C3"/>
    <w:rsid w:val="11BACC91"/>
    <w:rsid w:val="124706CA"/>
    <w:rsid w:val="2B052EE5"/>
    <w:rsid w:val="2E04F221"/>
    <w:rsid w:val="434A86B8"/>
    <w:rsid w:val="48014D7B"/>
    <w:rsid w:val="48FA96A4"/>
    <w:rsid w:val="600542C8"/>
    <w:rsid w:val="6D231888"/>
    <w:rsid w:val="6ED5EB5C"/>
    <w:rsid w:val="6F84DA24"/>
    <w:rsid w:val="7800AA8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2CEEF"/>
  <w15:chartTrackingRefBased/>
  <w15:docId w15:val="{984035E6-9CEC-42FF-BE45-369573965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style>
  <w:style w:type="paragraph" w:styleId="Kop1">
    <w:name w:val="heading 1"/>
    <w:basedOn w:val="Standaard"/>
    <w:next w:val="Standaard"/>
    <w:link w:val="Kop1Char"/>
    <w:uiPriority w:val="9"/>
    <w:qFormat/>
    <w:rsid w:val="00D610E3"/>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610E3"/>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610E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610E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610E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610E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610E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610E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610E3"/>
    <w:pPr>
      <w:keepNext/>
      <w:keepLines/>
      <w:spacing w:after="0"/>
      <w:outlineLvl w:val="8"/>
    </w:pPr>
    <w:rPr>
      <w:rFonts w:eastAsiaTheme="majorEastAsia" w:cstheme="majorBidi"/>
      <w:color w:val="272727" w:themeColor="text1" w:themeTint="D8"/>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character" w:styleId="Kop1Char" w:customStyle="1">
    <w:name w:val="Kop 1 Char"/>
    <w:basedOn w:val="Standaardalinea-lettertype"/>
    <w:link w:val="Kop1"/>
    <w:uiPriority w:val="9"/>
    <w:rsid w:val="00D610E3"/>
    <w:rPr>
      <w:rFonts w:asciiTheme="majorHAnsi" w:hAnsiTheme="majorHAnsi" w:eastAsiaTheme="majorEastAsia" w:cstheme="majorBidi"/>
      <w:color w:val="0F4761" w:themeColor="accent1" w:themeShade="BF"/>
      <w:sz w:val="40"/>
      <w:szCs w:val="40"/>
    </w:rPr>
  </w:style>
  <w:style w:type="character" w:styleId="Kop2Char" w:customStyle="1">
    <w:name w:val="Kop 2 Char"/>
    <w:basedOn w:val="Standaardalinea-lettertype"/>
    <w:link w:val="Kop2"/>
    <w:uiPriority w:val="9"/>
    <w:semiHidden/>
    <w:rsid w:val="00D610E3"/>
    <w:rPr>
      <w:rFonts w:asciiTheme="majorHAnsi" w:hAnsiTheme="majorHAnsi" w:eastAsiaTheme="majorEastAsia" w:cstheme="majorBidi"/>
      <w:color w:val="0F4761" w:themeColor="accent1" w:themeShade="BF"/>
      <w:sz w:val="32"/>
      <w:szCs w:val="32"/>
    </w:rPr>
  </w:style>
  <w:style w:type="character" w:styleId="Kop3Char" w:customStyle="1">
    <w:name w:val="Kop 3 Char"/>
    <w:basedOn w:val="Standaardalinea-lettertype"/>
    <w:link w:val="Kop3"/>
    <w:uiPriority w:val="9"/>
    <w:semiHidden/>
    <w:rsid w:val="00D610E3"/>
    <w:rPr>
      <w:rFonts w:eastAsiaTheme="majorEastAsia" w:cstheme="majorBidi"/>
      <w:color w:val="0F4761" w:themeColor="accent1" w:themeShade="BF"/>
      <w:sz w:val="28"/>
      <w:szCs w:val="28"/>
    </w:rPr>
  </w:style>
  <w:style w:type="character" w:styleId="Kop4Char" w:customStyle="1">
    <w:name w:val="Kop 4 Char"/>
    <w:basedOn w:val="Standaardalinea-lettertype"/>
    <w:link w:val="Kop4"/>
    <w:uiPriority w:val="9"/>
    <w:semiHidden/>
    <w:rsid w:val="00D610E3"/>
    <w:rPr>
      <w:rFonts w:eastAsiaTheme="majorEastAsia" w:cstheme="majorBidi"/>
      <w:i/>
      <w:iCs/>
      <w:color w:val="0F4761" w:themeColor="accent1" w:themeShade="BF"/>
    </w:rPr>
  </w:style>
  <w:style w:type="character" w:styleId="Kop5Char" w:customStyle="1">
    <w:name w:val="Kop 5 Char"/>
    <w:basedOn w:val="Standaardalinea-lettertype"/>
    <w:link w:val="Kop5"/>
    <w:uiPriority w:val="9"/>
    <w:semiHidden/>
    <w:rsid w:val="00D610E3"/>
    <w:rPr>
      <w:rFonts w:eastAsiaTheme="majorEastAsia" w:cstheme="majorBidi"/>
      <w:color w:val="0F4761" w:themeColor="accent1" w:themeShade="BF"/>
    </w:rPr>
  </w:style>
  <w:style w:type="character" w:styleId="Kop6Char" w:customStyle="1">
    <w:name w:val="Kop 6 Char"/>
    <w:basedOn w:val="Standaardalinea-lettertype"/>
    <w:link w:val="Kop6"/>
    <w:uiPriority w:val="9"/>
    <w:semiHidden/>
    <w:rsid w:val="00D610E3"/>
    <w:rPr>
      <w:rFonts w:eastAsiaTheme="majorEastAsia" w:cstheme="majorBidi"/>
      <w:i/>
      <w:iCs/>
      <w:color w:val="595959" w:themeColor="text1" w:themeTint="A6"/>
    </w:rPr>
  </w:style>
  <w:style w:type="character" w:styleId="Kop7Char" w:customStyle="1">
    <w:name w:val="Kop 7 Char"/>
    <w:basedOn w:val="Standaardalinea-lettertype"/>
    <w:link w:val="Kop7"/>
    <w:uiPriority w:val="9"/>
    <w:semiHidden/>
    <w:rsid w:val="00D610E3"/>
    <w:rPr>
      <w:rFonts w:eastAsiaTheme="majorEastAsia" w:cstheme="majorBidi"/>
      <w:color w:val="595959" w:themeColor="text1" w:themeTint="A6"/>
    </w:rPr>
  </w:style>
  <w:style w:type="character" w:styleId="Kop8Char" w:customStyle="1">
    <w:name w:val="Kop 8 Char"/>
    <w:basedOn w:val="Standaardalinea-lettertype"/>
    <w:link w:val="Kop8"/>
    <w:uiPriority w:val="9"/>
    <w:semiHidden/>
    <w:rsid w:val="00D610E3"/>
    <w:rPr>
      <w:rFonts w:eastAsiaTheme="majorEastAsia" w:cstheme="majorBidi"/>
      <w:i/>
      <w:iCs/>
      <w:color w:val="272727" w:themeColor="text1" w:themeTint="D8"/>
    </w:rPr>
  </w:style>
  <w:style w:type="character" w:styleId="Kop9Char" w:customStyle="1">
    <w:name w:val="Kop 9 Char"/>
    <w:basedOn w:val="Standaardalinea-lettertype"/>
    <w:link w:val="Kop9"/>
    <w:uiPriority w:val="9"/>
    <w:semiHidden/>
    <w:rsid w:val="00D610E3"/>
    <w:rPr>
      <w:rFonts w:eastAsiaTheme="majorEastAsia" w:cstheme="majorBidi"/>
      <w:color w:val="272727" w:themeColor="text1" w:themeTint="D8"/>
    </w:rPr>
  </w:style>
  <w:style w:type="paragraph" w:styleId="Titel">
    <w:name w:val="Title"/>
    <w:basedOn w:val="Standaard"/>
    <w:next w:val="Standaard"/>
    <w:link w:val="TitelChar"/>
    <w:uiPriority w:val="10"/>
    <w:qFormat/>
    <w:rsid w:val="00D610E3"/>
    <w:pPr>
      <w:spacing w:after="80" w:line="240" w:lineRule="auto"/>
      <w:contextualSpacing/>
    </w:pPr>
    <w:rPr>
      <w:rFonts w:asciiTheme="majorHAnsi" w:hAnsiTheme="majorHAnsi" w:eastAsiaTheme="majorEastAsia" w:cstheme="majorBidi"/>
      <w:spacing w:val="-10"/>
      <w:kern w:val="28"/>
      <w:sz w:val="56"/>
      <w:szCs w:val="56"/>
    </w:rPr>
  </w:style>
  <w:style w:type="character" w:styleId="TitelChar" w:customStyle="1">
    <w:name w:val="Titel Char"/>
    <w:basedOn w:val="Standaardalinea-lettertype"/>
    <w:link w:val="Titel"/>
    <w:uiPriority w:val="10"/>
    <w:rsid w:val="00D610E3"/>
    <w:rPr>
      <w:rFonts w:asciiTheme="majorHAnsi" w:hAnsiTheme="majorHAnsi" w:eastAsiaTheme="majorEastAsia" w:cstheme="majorBidi"/>
      <w:spacing w:val="-10"/>
      <w:kern w:val="28"/>
      <w:sz w:val="56"/>
      <w:szCs w:val="56"/>
    </w:rPr>
  </w:style>
  <w:style w:type="paragraph" w:styleId="Ondertitel">
    <w:name w:val="Subtitle"/>
    <w:basedOn w:val="Standaard"/>
    <w:next w:val="Standaard"/>
    <w:link w:val="OndertitelChar"/>
    <w:uiPriority w:val="11"/>
    <w:qFormat/>
    <w:rsid w:val="00D610E3"/>
    <w:pPr>
      <w:numPr>
        <w:ilvl w:val="1"/>
      </w:numPr>
    </w:pPr>
    <w:rPr>
      <w:rFonts w:eastAsiaTheme="majorEastAsia" w:cstheme="majorBidi"/>
      <w:color w:val="595959" w:themeColor="text1" w:themeTint="A6"/>
      <w:spacing w:val="15"/>
      <w:sz w:val="28"/>
      <w:szCs w:val="28"/>
    </w:rPr>
  </w:style>
  <w:style w:type="character" w:styleId="OndertitelChar" w:customStyle="1">
    <w:name w:val="Ondertitel Char"/>
    <w:basedOn w:val="Standaardalinea-lettertype"/>
    <w:link w:val="Ondertitel"/>
    <w:uiPriority w:val="11"/>
    <w:rsid w:val="00D610E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610E3"/>
    <w:pPr>
      <w:spacing w:before="160"/>
      <w:jc w:val="center"/>
    </w:pPr>
    <w:rPr>
      <w:i/>
      <w:iCs/>
      <w:color w:val="404040" w:themeColor="text1" w:themeTint="BF"/>
    </w:rPr>
  </w:style>
  <w:style w:type="character" w:styleId="CitaatChar" w:customStyle="1">
    <w:name w:val="Citaat Char"/>
    <w:basedOn w:val="Standaardalinea-lettertype"/>
    <w:link w:val="Citaat"/>
    <w:uiPriority w:val="29"/>
    <w:rsid w:val="00D610E3"/>
    <w:rPr>
      <w:i/>
      <w:iCs/>
      <w:color w:val="404040" w:themeColor="text1" w:themeTint="BF"/>
    </w:rPr>
  </w:style>
  <w:style w:type="paragraph" w:styleId="Lijstalinea">
    <w:name w:val="List Paragraph"/>
    <w:aliases w:val="Lijst meerdere niveaus,Dot pt,F5 List Paragraph,List Paragraph1,No Spacing1,List Paragraph Char Char Char,Indicator Text,Numbered Para 1,Bullet 1,Bullet Points,Párrafo de lista,MAIN CONTENT,Recommendation,List Paragraph2,Normal numbere"/>
    <w:basedOn w:val="Standaard"/>
    <w:link w:val="LijstalineaChar"/>
    <w:uiPriority w:val="34"/>
    <w:qFormat/>
    <w:rsid w:val="00D610E3"/>
    <w:pPr>
      <w:ind w:left="720"/>
      <w:contextualSpacing/>
    </w:pPr>
  </w:style>
  <w:style w:type="character" w:styleId="Intensievebenadrukking">
    <w:name w:val="Intense Emphasis"/>
    <w:basedOn w:val="Standaardalinea-lettertype"/>
    <w:uiPriority w:val="21"/>
    <w:qFormat/>
    <w:rsid w:val="00D610E3"/>
    <w:rPr>
      <w:i/>
      <w:iCs/>
      <w:color w:val="0F4761" w:themeColor="accent1" w:themeShade="BF"/>
    </w:rPr>
  </w:style>
  <w:style w:type="paragraph" w:styleId="Duidelijkcitaat">
    <w:name w:val="Intense Quote"/>
    <w:basedOn w:val="Standaard"/>
    <w:next w:val="Standaard"/>
    <w:link w:val="DuidelijkcitaatChar"/>
    <w:uiPriority w:val="30"/>
    <w:qFormat/>
    <w:rsid w:val="00D610E3"/>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DuidelijkcitaatChar" w:customStyle="1">
    <w:name w:val="Duidelijk citaat Char"/>
    <w:basedOn w:val="Standaardalinea-lettertype"/>
    <w:link w:val="Duidelijkcitaat"/>
    <w:uiPriority w:val="30"/>
    <w:rsid w:val="00D610E3"/>
    <w:rPr>
      <w:i/>
      <w:iCs/>
      <w:color w:val="0F4761" w:themeColor="accent1" w:themeShade="BF"/>
    </w:rPr>
  </w:style>
  <w:style w:type="character" w:styleId="Intensieveverwijzing">
    <w:name w:val="Intense Reference"/>
    <w:basedOn w:val="Standaardalinea-lettertype"/>
    <w:uiPriority w:val="32"/>
    <w:qFormat/>
    <w:rsid w:val="00D610E3"/>
    <w:rPr>
      <w:b/>
      <w:bCs/>
      <w:smallCaps/>
      <w:color w:val="0F4761" w:themeColor="accent1" w:themeShade="BF"/>
      <w:spacing w:val="5"/>
    </w:rPr>
  </w:style>
  <w:style w:type="character" w:styleId="LijstalineaChar" w:customStyle="1">
    <w:name w:val="Lijstalinea Char"/>
    <w:aliases w:val="Lijst meerdere niveaus Char,Dot pt Char,F5 List Paragraph Char,List Paragraph1 Char,No Spacing1 Char,List Paragraph Char Char Char Char,Indicator Text Char,Numbered Para 1 Char,Bullet 1 Char,Bullet Points Char,Párrafo de lista Char"/>
    <w:basedOn w:val="Standaardalinea-lettertype"/>
    <w:link w:val="Lijstalinea"/>
    <w:uiPriority w:val="34"/>
    <w:locked/>
    <w:rsid w:val="00240607"/>
  </w:style>
  <w:style w:type="character" w:styleId="Hyperlink1" w:customStyle="1">
    <w:name w:val="Hyperlink1"/>
    <w:basedOn w:val="Standaardalinea-lettertype"/>
    <w:uiPriority w:val="99"/>
    <w:semiHidden/>
    <w:unhideWhenUsed/>
    <w:rsid w:val="00877F95"/>
    <w:rPr>
      <w:color w:val="0563C1"/>
      <w:u w:val="single"/>
    </w:rPr>
  </w:style>
  <w:style w:type="paragraph" w:styleId="Voetnoottekst">
    <w:name w:val="footnote text"/>
    <w:basedOn w:val="Standaard"/>
    <w:link w:val="VoetnoottekstChar"/>
    <w:uiPriority w:val="99"/>
    <w:unhideWhenUsed/>
    <w:rsid w:val="00877F95"/>
    <w:pPr>
      <w:spacing w:after="0" w:line="240" w:lineRule="auto"/>
    </w:pPr>
    <w:rPr>
      <w:rFonts w:ascii="Calibri" w:hAnsi="Calibri" w:eastAsia="Calibri" w:cs="Arial"/>
      <w:kern w:val="0"/>
      <w:sz w:val="20"/>
      <w:szCs w:val="20"/>
      <w14:ligatures w14:val="none"/>
    </w:rPr>
  </w:style>
  <w:style w:type="character" w:styleId="VoetnoottekstChar" w:customStyle="1">
    <w:name w:val="Voetnoottekst Char"/>
    <w:basedOn w:val="Standaardalinea-lettertype"/>
    <w:link w:val="Voetnoottekst"/>
    <w:uiPriority w:val="99"/>
    <w:rsid w:val="00877F95"/>
    <w:rPr>
      <w:rFonts w:ascii="Calibri" w:hAnsi="Calibri" w:eastAsia="Calibri" w:cs="Arial"/>
      <w:kern w:val="0"/>
      <w:sz w:val="20"/>
      <w:szCs w:val="20"/>
      <w14:ligatures w14:val="none"/>
    </w:rPr>
  </w:style>
  <w:style w:type="character" w:styleId="Voetnootmarkering">
    <w:name w:val="footnote reference"/>
    <w:basedOn w:val="Standaardalinea-lettertype"/>
    <w:uiPriority w:val="99"/>
    <w:semiHidden/>
    <w:unhideWhenUsed/>
    <w:rsid w:val="00877F95"/>
    <w:rPr>
      <w:vertAlign w:val="superscript"/>
    </w:rPr>
  </w:style>
  <w:style w:type="character" w:styleId="Hyperlink">
    <w:name w:val="Hyperlink"/>
    <w:basedOn w:val="Standaardalinea-lettertype"/>
    <w:uiPriority w:val="99"/>
    <w:semiHidden/>
    <w:unhideWhenUsed/>
    <w:rsid w:val="00877F95"/>
    <w:rPr>
      <w:color w:val="467886" w:themeColor="hyperlink"/>
      <w:u w:val="single"/>
    </w:rPr>
  </w:style>
  <w:style w:type="paragraph" w:styleId="Koptekst">
    <w:name w:val="header"/>
    <w:basedOn w:val="Standaard"/>
    <w:link w:val="KoptekstChar"/>
    <w:uiPriority w:val="99"/>
    <w:unhideWhenUsed/>
    <w:rsid w:val="001D5C13"/>
    <w:pPr>
      <w:tabs>
        <w:tab w:val="center" w:pos="4536"/>
        <w:tab w:val="right" w:pos="9072"/>
      </w:tabs>
      <w:spacing w:after="0" w:line="240" w:lineRule="auto"/>
    </w:pPr>
  </w:style>
  <w:style w:type="character" w:styleId="KoptekstChar" w:customStyle="1">
    <w:name w:val="Koptekst Char"/>
    <w:basedOn w:val="Standaardalinea-lettertype"/>
    <w:link w:val="Koptekst"/>
    <w:uiPriority w:val="99"/>
    <w:rsid w:val="001D5C13"/>
  </w:style>
  <w:style w:type="paragraph" w:styleId="Voettekst">
    <w:name w:val="footer"/>
    <w:basedOn w:val="Standaard"/>
    <w:link w:val="VoettekstChar"/>
    <w:uiPriority w:val="99"/>
    <w:unhideWhenUsed/>
    <w:rsid w:val="001D5C13"/>
    <w:pPr>
      <w:tabs>
        <w:tab w:val="center" w:pos="4536"/>
        <w:tab w:val="right" w:pos="9072"/>
      </w:tabs>
      <w:spacing w:after="0" w:line="240" w:lineRule="auto"/>
    </w:pPr>
  </w:style>
  <w:style w:type="character" w:styleId="VoettekstChar" w:customStyle="1">
    <w:name w:val="Voettekst Char"/>
    <w:basedOn w:val="Standaardalinea-lettertype"/>
    <w:link w:val="Voettekst"/>
    <w:uiPriority w:val="99"/>
    <w:rsid w:val="001D5C13"/>
  </w:style>
  <w:style w:type="character" w:styleId="normaltextrun" w:customStyle="1">
    <w:name w:val="normaltextrun"/>
    <w:basedOn w:val="Standaardalinea-lettertype"/>
    <w:rsid w:val="009613C0"/>
  </w:style>
  <w:style w:type="paragraph" w:styleId="Tekstopmerking">
    <w:name w:val="annotation text"/>
    <w:basedOn w:val="Standaard"/>
    <w:link w:val="TekstopmerkingChar"/>
    <w:uiPriority w:val="99"/>
    <w:unhideWhenUsed/>
    <w:pPr>
      <w:spacing w:line="240" w:lineRule="auto"/>
    </w:pPr>
    <w:rPr>
      <w:sz w:val="20"/>
      <w:szCs w:val="20"/>
    </w:rPr>
  </w:style>
  <w:style w:type="character" w:styleId="TekstopmerkingChar" w:customStyle="1">
    <w:name w:val="Tekst opmerking Char"/>
    <w:basedOn w:val="Standaardalinea-lettertype"/>
    <w:link w:val="Tekstopmerking"/>
    <w:uiPriority w:val="99"/>
    <w:rPr>
      <w:sz w:val="20"/>
      <w:szCs w:val="20"/>
    </w:rPr>
  </w:style>
  <w:style w:type="character" w:styleId="Verwijzingopmerking">
    <w:name w:val="annotation reference"/>
    <w:basedOn w:val="Standaardalinea-lettertype"/>
    <w:uiPriority w:val="99"/>
    <w:semiHidden/>
    <w:unhideWhenUsed/>
    <w:rPr>
      <w:sz w:val="16"/>
      <w:szCs w:val="16"/>
    </w:rPr>
  </w:style>
  <w:style w:type="paragraph" w:styleId="Revisie">
    <w:name w:val="Revision"/>
    <w:hidden/>
    <w:uiPriority w:val="99"/>
    <w:semiHidden/>
    <w:rsid w:val="008675CD"/>
    <w:pPr>
      <w:spacing w:after="0" w:line="240" w:lineRule="auto"/>
    </w:pPr>
  </w:style>
  <w:style w:type="paragraph" w:styleId="Onderwerpvanopmerking">
    <w:name w:val="annotation subject"/>
    <w:basedOn w:val="Tekstopmerking"/>
    <w:next w:val="Tekstopmerking"/>
    <w:link w:val="OnderwerpvanopmerkingChar"/>
    <w:uiPriority w:val="99"/>
    <w:semiHidden/>
    <w:unhideWhenUsed/>
    <w:rsid w:val="00F97783"/>
    <w:rPr>
      <w:b/>
      <w:bCs/>
    </w:rPr>
  </w:style>
  <w:style w:type="character" w:styleId="OnderwerpvanopmerkingChar" w:customStyle="1">
    <w:name w:val="Onderwerp van opmerking Char"/>
    <w:basedOn w:val="TekstopmerkingChar"/>
    <w:link w:val="Onderwerpvanopmerking"/>
    <w:uiPriority w:val="99"/>
    <w:semiHidden/>
    <w:rsid w:val="00F97783"/>
    <w:rPr>
      <w:b/>
      <w:bCs/>
      <w:sz w:val="20"/>
      <w:szCs w:val="20"/>
    </w:rPr>
  </w:style>
  <w:style w:type="table" w:styleId="TableNormal1" w:customStyle="1">
    <w:name w:val="Table Normal1"/>
    <w:uiPriority w:val="99"/>
    <w:semiHidden/>
    <w:unhideWhenUsed/>
    <w:rsid w:val="00C35BEA"/>
    <w:tblPr>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505990">
      <w:bodyDiv w:val="1"/>
      <w:marLeft w:val="0"/>
      <w:marRight w:val="0"/>
      <w:marTop w:val="0"/>
      <w:marBottom w:val="0"/>
      <w:divBdr>
        <w:top w:val="none" w:sz="0" w:space="0" w:color="auto"/>
        <w:left w:val="none" w:sz="0" w:space="0" w:color="auto"/>
        <w:bottom w:val="none" w:sz="0" w:space="0" w:color="auto"/>
        <w:right w:val="none" w:sz="0" w:space="0" w:color="auto"/>
      </w:divBdr>
    </w:div>
    <w:div w:id="679237698">
      <w:bodyDiv w:val="1"/>
      <w:marLeft w:val="0"/>
      <w:marRight w:val="0"/>
      <w:marTop w:val="0"/>
      <w:marBottom w:val="0"/>
      <w:divBdr>
        <w:top w:val="none" w:sz="0" w:space="0" w:color="auto"/>
        <w:left w:val="none" w:sz="0" w:space="0" w:color="auto"/>
        <w:bottom w:val="none" w:sz="0" w:space="0" w:color="auto"/>
        <w:right w:val="none" w:sz="0" w:space="0" w:color="auto"/>
      </w:divBdr>
      <w:divsChild>
        <w:div w:id="325938978">
          <w:marLeft w:val="446"/>
          <w:marRight w:val="0"/>
          <w:marTop w:val="0"/>
          <w:marBottom w:val="0"/>
          <w:divBdr>
            <w:top w:val="none" w:sz="0" w:space="0" w:color="auto"/>
            <w:left w:val="none" w:sz="0" w:space="0" w:color="auto"/>
            <w:bottom w:val="none" w:sz="0" w:space="0" w:color="auto"/>
            <w:right w:val="none" w:sz="0" w:space="0" w:color="auto"/>
          </w:divBdr>
        </w:div>
        <w:div w:id="1027174503">
          <w:marLeft w:val="446"/>
          <w:marRight w:val="0"/>
          <w:marTop w:val="0"/>
          <w:marBottom w:val="0"/>
          <w:divBdr>
            <w:top w:val="none" w:sz="0" w:space="0" w:color="auto"/>
            <w:left w:val="none" w:sz="0" w:space="0" w:color="auto"/>
            <w:bottom w:val="none" w:sz="0" w:space="0" w:color="auto"/>
            <w:right w:val="none" w:sz="0" w:space="0" w:color="auto"/>
          </w:divBdr>
        </w:div>
        <w:div w:id="1089889326">
          <w:marLeft w:val="446"/>
          <w:marRight w:val="0"/>
          <w:marTop w:val="0"/>
          <w:marBottom w:val="0"/>
          <w:divBdr>
            <w:top w:val="none" w:sz="0" w:space="0" w:color="auto"/>
            <w:left w:val="none" w:sz="0" w:space="0" w:color="auto"/>
            <w:bottom w:val="none" w:sz="0" w:space="0" w:color="auto"/>
            <w:right w:val="none" w:sz="0" w:space="0" w:color="auto"/>
          </w:divBdr>
        </w:div>
        <w:div w:id="1308166586">
          <w:marLeft w:val="446"/>
          <w:marRight w:val="0"/>
          <w:marTop w:val="0"/>
          <w:marBottom w:val="0"/>
          <w:divBdr>
            <w:top w:val="none" w:sz="0" w:space="0" w:color="auto"/>
            <w:left w:val="none" w:sz="0" w:space="0" w:color="auto"/>
            <w:bottom w:val="none" w:sz="0" w:space="0" w:color="auto"/>
            <w:right w:val="none" w:sz="0" w:space="0" w:color="auto"/>
          </w:divBdr>
        </w:div>
        <w:div w:id="2123722814">
          <w:marLeft w:val="446"/>
          <w:marRight w:val="0"/>
          <w:marTop w:val="0"/>
          <w:marBottom w:val="0"/>
          <w:divBdr>
            <w:top w:val="none" w:sz="0" w:space="0" w:color="auto"/>
            <w:left w:val="none" w:sz="0" w:space="0" w:color="auto"/>
            <w:bottom w:val="none" w:sz="0" w:space="0" w:color="auto"/>
            <w:right w:val="none" w:sz="0" w:space="0" w:color="auto"/>
          </w:divBdr>
        </w:div>
      </w:divsChild>
    </w:div>
    <w:div w:id="1152529430">
      <w:bodyDiv w:val="1"/>
      <w:marLeft w:val="0"/>
      <w:marRight w:val="0"/>
      <w:marTop w:val="0"/>
      <w:marBottom w:val="0"/>
      <w:divBdr>
        <w:top w:val="none" w:sz="0" w:space="0" w:color="auto"/>
        <w:left w:val="none" w:sz="0" w:space="0" w:color="auto"/>
        <w:bottom w:val="none" w:sz="0" w:space="0" w:color="auto"/>
        <w:right w:val="none" w:sz="0" w:space="0" w:color="auto"/>
      </w:divBdr>
      <w:divsChild>
        <w:div w:id="98455251">
          <w:marLeft w:val="446"/>
          <w:marRight w:val="0"/>
          <w:marTop w:val="0"/>
          <w:marBottom w:val="0"/>
          <w:divBdr>
            <w:top w:val="none" w:sz="0" w:space="0" w:color="auto"/>
            <w:left w:val="none" w:sz="0" w:space="0" w:color="auto"/>
            <w:bottom w:val="none" w:sz="0" w:space="0" w:color="auto"/>
            <w:right w:val="none" w:sz="0" w:space="0" w:color="auto"/>
          </w:divBdr>
        </w:div>
        <w:div w:id="132068183">
          <w:marLeft w:val="446"/>
          <w:marRight w:val="0"/>
          <w:marTop w:val="0"/>
          <w:marBottom w:val="0"/>
          <w:divBdr>
            <w:top w:val="none" w:sz="0" w:space="0" w:color="auto"/>
            <w:left w:val="none" w:sz="0" w:space="0" w:color="auto"/>
            <w:bottom w:val="none" w:sz="0" w:space="0" w:color="auto"/>
            <w:right w:val="none" w:sz="0" w:space="0" w:color="auto"/>
          </w:divBdr>
        </w:div>
        <w:div w:id="650521460">
          <w:marLeft w:val="446"/>
          <w:marRight w:val="0"/>
          <w:marTop w:val="0"/>
          <w:marBottom w:val="0"/>
          <w:divBdr>
            <w:top w:val="none" w:sz="0" w:space="0" w:color="auto"/>
            <w:left w:val="none" w:sz="0" w:space="0" w:color="auto"/>
            <w:bottom w:val="none" w:sz="0" w:space="0" w:color="auto"/>
            <w:right w:val="none" w:sz="0" w:space="0" w:color="auto"/>
          </w:divBdr>
        </w:div>
        <w:div w:id="724989093">
          <w:marLeft w:val="446"/>
          <w:marRight w:val="0"/>
          <w:marTop w:val="0"/>
          <w:marBottom w:val="0"/>
          <w:divBdr>
            <w:top w:val="none" w:sz="0" w:space="0" w:color="auto"/>
            <w:left w:val="none" w:sz="0" w:space="0" w:color="auto"/>
            <w:bottom w:val="none" w:sz="0" w:space="0" w:color="auto"/>
            <w:right w:val="none" w:sz="0" w:space="0" w:color="auto"/>
          </w:divBdr>
        </w:div>
        <w:div w:id="1194076638">
          <w:marLeft w:val="446"/>
          <w:marRight w:val="0"/>
          <w:marTop w:val="0"/>
          <w:marBottom w:val="0"/>
          <w:divBdr>
            <w:top w:val="none" w:sz="0" w:space="0" w:color="auto"/>
            <w:left w:val="none" w:sz="0" w:space="0" w:color="auto"/>
            <w:bottom w:val="none" w:sz="0" w:space="0" w:color="auto"/>
            <w:right w:val="none" w:sz="0" w:space="0" w:color="auto"/>
          </w:divBdr>
        </w:div>
        <w:div w:id="1614287284">
          <w:marLeft w:val="446"/>
          <w:marRight w:val="0"/>
          <w:marTop w:val="0"/>
          <w:marBottom w:val="0"/>
          <w:divBdr>
            <w:top w:val="none" w:sz="0" w:space="0" w:color="auto"/>
            <w:left w:val="none" w:sz="0" w:space="0" w:color="auto"/>
            <w:bottom w:val="none" w:sz="0" w:space="0" w:color="auto"/>
            <w:right w:val="none" w:sz="0" w:space="0" w:color="auto"/>
          </w:divBdr>
        </w:div>
      </w:divsChild>
    </w:div>
    <w:div w:id="1831632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0e42fe9-c0af-4799-8ac9-54e96bdf2de1">
      <Terms xmlns="http://schemas.microsoft.com/office/infopath/2007/PartnerControls"/>
    </lcf76f155ced4ddcb4097134ff3c332f>
    <TaxCatchAll xmlns="08bcfd85-4bf9-4dfb-803d-e1da9baf79da" xsi:nil="true"/>
    <_ip_UnifiedCompliancePolicyUIAction xmlns="http://schemas.microsoft.com/sharepoint/v3" xsi:nil="true"/>
    <_Flow_SignoffStatus xmlns="a0e42fe9-c0af-4799-8ac9-54e96bdf2de1"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20F7EE6CACA174EA26CDBC28816B259" ma:contentTypeVersion="18" ma:contentTypeDescription="Een nieuw document maken." ma:contentTypeScope="" ma:versionID="c91142cea559113ee0ea86c80dd20750">
  <xsd:schema xmlns:xsd="http://www.w3.org/2001/XMLSchema" xmlns:xs="http://www.w3.org/2001/XMLSchema" xmlns:p="http://schemas.microsoft.com/office/2006/metadata/properties" xmlns:ns1="http://schemas.microsoft.com/sharepoint/v3" xmlns:ns2="a0e42fe9-c0af-4799-8ac9-54e96bdf2de1" xmlns:ns3="08bcfd85-4bf9-4dfb-803d-e1da9baf79da" targetNamespace="http://schemas.microsoft.com/office/2006/metadata/properties" ma:root="true" ma:fieldsID="0d30ec0efdd20b64a6f287ec62dd6e32" ns1:_="" ns2:_="" ns3:_="">
    <xsd:import namespace="http://schemas.microsoft.com/sharepoint/v3"/>
    <xsd:import namespace="a0e42fe9-c0af-4799-8ac9-54e96bdf2de1"/>
    <xsd:import namespace="08bcfd85-4bf9-4dfb-803d-e1da9baf79d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_Flow_SignoffStatus" minOccurs="0"/>
                <xsd:element ref="ns2:lcf76f155ced4ddcb4097134ff3c332f" minOccurs="0"/>
                <xsd:element ref="ns3:TaxCatchAll" minOccurs="0"/>
                <xsd:element ref="ns2:MediaServiceOCR" minOccurs="0"/>
                <xsd:element ref="ns2: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Eigenschappen van het geïntegreerd beleid voor naleving" ma:hidden="true" ma:internalName="_ip_UnifiedCompliancePolicyProperties">
      <xsd:simpleType>
        <xsd:restriction base="dms:Note"/>
      </xsd:simpleType>
    </xsd:element>
    <xsd:element name="_ip_UnifiedCompliancePolicyUIAction" ma:index="25" nillable="true" ma:displayName="Actie van de gebruikersinterface van het geïntegreerd beleid voor naleving"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e42fe9-c0af-4799-8ac9-54e96bdf2d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_Flow_SignoffStatus" ma:index="18" nillable="true" ma:displayName="Afmeldingsstatus" ma:internalName="Afmeldingsstatus">
      <xsd:simpleType>
        <xsd:restriction base="dms:Text"/>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c7f73406-22db-402e-883a-a68d5f2cb601"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bcfd85-4bf9-4dfb-803d-e1da9baf79da"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element name="TaxCatchAll" ma:index="21" nillable="true" ma:displayName="Taxonomy Catch All Column" ma:hidden="true" ma:list="{7d7a5ca3-f8ca-4c61-b566-432d80c50021}" ma:internalName="TaxCatchAll" ma:showField="CatchAllData" ma:web="08bcfd85-4bf9-4dfb-803d-e1da9baf79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D36923-7320-4F1D-A3FD-B5FF96B98A1B}">
  <ds:schemaRefs>
    <ds:schemaRef ds:uri="http://schemas.microsoft.com/sharepoint/v3/contenttype/forms"/>
  </ds:schemaRefs>
</ds:datastoreItem>
</file>

<file path=customXml/itemProps2.xml><?xml version="1.0" encoding="utf-8"?>
<ds:datastoreItem xmlns:ds="http://schemas.openxmlformats.org/officeDocument/2006/customXml" ds:itemID="{0BAF9552-4714-A84E-B2B2-FA756135C42E}">
  <ds:schemaRefs>
    <ds:schemaRef ds:uri="http://schemas.openxmlformats.org/officeDocument/2006/bibliography"/>
  </ds:schemaRefs>
</ds:datastoreItem>
</file>

<file path=customXml/itemProps3.xml><?xml version="1.0" encoding="utf-8"?>
<ds:datastoreItem xmlns:ds="http://schemas.openxmlformats.org/officeDocument/2006/customXml" ds:itemID="{1A181861-2602-4898-8328-EFA78BC36237}">
  <ds:schemaRefs>
    <ds:schemaRef ds:uri="http://schemas.microsoft.com/office/2006/metadata/properties"/>
    <ds:schemaRef ds:uri="http://schemas.microsoft.com/office/infopath/2007/PartnerControls"/>
    <ds:schemaRef ds:uri="a0e42fe9-c0af-4799-8ac9-54e96bdf2de1"/>
    <ds:schemaRef ds:uri="08bcfd85-4bf9-4dfb-803d-e1da9baf79da"/>
    <ds:schemaRef ds:uri="http://schemas.microsoft.com/sharepoint/v3"/>
  </ds:schemaRefs>
</ds:datastoreItem>
</file>

<file path=customXml/itemProps4.xml><?xml version="1.0" encoding="utf-8"?>
<ds:datastoreItem xmlns:ds="http://schemas.openxmlformats.org/officeDocument/2006/customXml" ds:itemID="{299537CB-C50A-43AE-8AFE-A73C88AAE8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0e42fe9-c0af-4799-8ac9-54e96bdf2de1"/>
    <ds:schemaRef ds:uri="08bcfd85-4bf9-4dfb-803d-e1da9baf79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Jean-Paul de Poorter</dc:creator>
  <keywords/>
  <dc:description/>
  <lastModifiedBy>Erik Riphagen</lastModifiedBy>
  <revision>36</revision>
  <lastPrinted>2025-03-10T04:46:00.0000000Z</lastPrinted>
  <dcterms:created xsi:type="dcterms:W3CDTF">2025-03-26T08:42:00.0000000Z</dcterms:created>
  <dcterms:modified xsi:type="dcterms:W3CDTF">2025-04-22T10:50:38.0173966Z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0x010100520F7EE6CACA174EA26CDBC28816B259</vt:lpwstr>
  </property>
  <property fmtid="{D5CDD505-2E9C-101B-9397-08002B2CF9AE}" pid="3" name="MediaServiceImageTags">
    <vt:lpwstr/>
  </property>
</Properties>
</file>